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B88" w:rsidRDefault="00736B88">
      <w:pPr>
        <w:jc w:val="right"/>
      </w:pPr>
    </w:p>
    <w:p w:rsidR="00F64313" w:rsidRPr="00724D55" w:rsidRDefault="00F64313" w:rsidP="00F64313">
      <w:pPr>
        <w:spacing w:after="0" w:line="240" w:lineRule="auto"/>
        <w:rPr>
          <w:rFonts w:ascii="Arial" w:hAnsi="Arial" w:cs="Arial"/>
          <w:b/>
          <w:sz w:val="24"/>
          <w:szCs w:val="24"/>
        </w:rPr>
      </w:pPr>
      <w:r w:rsidRPr="00724D55">
        <w:rPr>
          <w:rFonts w:ascii="Arial" w:hAnsi="Arial" w:cs="Arial"/>
          <w:b/>
          <w:sz w:val="24"/>
          <w:szCs w:val="24"/>
        </w:rPr>
        <w:t xml:space="preserve">Policy:  </w:t>
      </w:r>
      <w:r>
        <w:rPr>
          <w:rFonts w:ascii="Arial" w:hAnsi="Arial" w:cs="Arial"/>
          <w:b/>
          <w:sz w:val="24"/>
          <w:szCs w:val="24"/>
        </w:rPr>
        <w:t>2435</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Section 2</w:t>
      </w:r>
      <w:r w:rsidRPr="00724D55">
        <w:rPr>
          <w:rFonts w:ascii="Arial" w:hAnsi="Arial" w:cs="Arial"/>
          <w:b/>
          <w:sz w:val="24"/>
          <w:szCs w:val="24"/>
        </w:rPr>
        <w:t xml:space="preserve">000: </w:t>
      </w:r>
      <w:r>
        <w:rPr>
          <w:rFonts w:ascii="Arial" w:hAnsi="Arial" w:cs="Arial"/>
          <w:b/>
          <w:sz w:val="24"/>
          <w:szCs w:val="24"/>
        </w:rPr>
        <w:t>Instruction</w:t>
      </w:r>
    </w:p>
    <w:p w:rsidR="00F64313" w:rsidRPr="00724D55" w:rsidRDefault="00F64313" w:rsidP="00F64313">
      <w:pPr>
        <w:spacing w:after="0" w:line="240" w:lineRule="auto"/>
        <w:rPr>
          <w:rFonts w:ascii="Arial" w:hAnsi="Arial" w:cs="Arial"/>
          <w:sz w:val="24"/>
          <w:szCs w:val="24"/>
        </w:rPr>
      </w:pPr>
    </w:p>
    <w:p w:rsidR="00F64313" w:rsidRPr="00724D55" w:rsidRDefault="00F64313" w:rsidP="00F64313">
      <w:pPr>
        <w:spacing w:after="0" w:line="240" w:lineRule="auto"/>
        <w:rPr>
          <w:rFonts w:ascii="Arial" w:hAnsi="Arial" w:cs="Arial"/>
          <w:b/>
          <w:sz w:val="24"/>
          <w:szCs w:val="24"/>
        </w:rPr>
      </w:pPr>
      <w:r w:rsidRPr="00724D55">
        <w:rPr>
          <w:rFonts w:ascii="Arial" w:hAnsi="Arial" w:cs="Arial"/>
          <w:b/>
          <w:sz w:val="24"/>
          <w:szCs w:val="24"/>
        </w:rPr>
        <w:t>POLICY TITLE:</w:t>
      </w:r>
      <w:r w:rsidRPr="00724D55">
        <w:rPr>
          <w:rFonts w:ascii="Arial" w:hAnsi="Arial" w:cs="Arial"/>
          <w:b/>
          <w:sz w:val="24"/>
          <w:szCs w:val="24"/>
        </w:rPr>
        <w:tab/>
      </w:r>
      <w:r>
        <w:rPr>
          <w:rFonts w:ascii="Arial" w:hAnsi="Arial" w:cs="Arial"/>
          <w:b/>
          <w:sz w:val="24"/>
          <w:szCs w:val="24"/>
        </w:rPr>
        <w:t>Advanced Opportunities</w:t>
      </w:r>
    </w:p>
    <w:p w:rsidR="00F64313" w:rsidRDefault="00F64313" w:rsidP="00F64313"/>
    <w:p w:rsidR="00CE1473" w:rsidRPr="00F64313" w:rsidRDefault="00DD44B8">
      <w:pPr>
        <w:divId w:val="182403263"/>
        <w:rPr>
          <w:rFonts w:ascii="Arial" w:eastAsia="Times New Roman" w:hAnsi="Arial" w:cs="Arial"/>
          <w:sz w:val="24"/>
          <w:szCs w:val="24"/>
        </w:rPr>
      </w:pPr>
      <w:r w:rsidRPr="00F64313">
        <w:rPr>
          <w:rFonts w:ascii="Arial" w:eastAsia="Times New Roman" w:hAnsi="Arial" w:cs="Arial"/>
          <w:sz w:val="24"/>
          <w:szCs w:val="24"/>
        </w:rPr>
        <w:t xml:space="preserve">The </w:t>
      </w:r>
      <w:r w:rsidR="00F64313">
        <w:rPr>
          <w:rFonts w:ascii="Arial" w:eastAsia="Times New Roman" w:hAnsi="Arial" w:cs="Arial"/>
          <w:sz w:val="24"/>
          <w:szCs w:val="24"/>
        </w:rPr>
        <w:t>Agency</w:t>
      </w:r>
      <w:r w:rsidRPr="00F64313">
        <w:rPr>
          <w:rFonts w:ascii="Arial" w:eastAsia="Times New Roman" w:hAnsi="Arial" w:cs="Arial"/>
          <w:sz w:val="24"/>
          <w:szCs w:val="24"/>
        </w:rPr>
        <w:t xml:space="preserve"> provides opportunities for students to begin earning credit for college and vocational programs and/or to take advanced placement or other college credit-bearing or professional certificate examinations while they attend school in the </w:t>
      </w:r>
      <w:r w:rsidR="00F64313">
        <w:rPr>
          <w:rFonts w:ascii="Arial" w:eastAsia="Times New Roman" w:hAnsi="Arial" w:cs="Arial"/>
          <w:sz w:val="24"/>
          <w:szCs w:val="24"/>
        </w:rPr>
        <w:t>Agency</w:t>
      </w:r>
      <w:r w:rsidRPr="00F64313">
        <w:rPr>
          <w:rFonts w:ascii="Arial" w:eastAsia="Times New Roman" w:hAnsi="Arial" w:cs="Arial"/>
          <w:sz w:val="24"/>
          <w:szCs w:val="24"/>
        </w:rPr>
        <w:t>. </w:t>
      </w:r>
      <w:r w:rsidRPr="00F64313">
        <w:rPr>
          <w:rFonts w:ascii="Arial" w:eastAsia="Times New Roman" w:hAnsi="Arial" w:cs="Arial"/>
          <w:sz w:val="24"/>
          <w:szCs w:val="24"/>
        </w:rPr>
        <w:br/>
      </w:r>
      <w:r w:rsidRPr="00F64313">
        <w:rPr>
          <w:rFonts w:ascii="Arial" w:eastAsia="Times New Roman" w:hAnsi="Arial" w:cs="Arial"/>
          <w:sz w:val="24"/>
          <w:szCs w:val="24"/>
        </w:rPr>
        <w:br/>
        <w:t xml:space="preserve">Participation in the </w:t>
      </w:r>
      <w:r w:rsidR="00F64313">
        <w:rPr>
          <w:rFonts w:ascii="Arial" w:eastAsia="Times New Roman" w:hAnsi="Arial" w:cs="Arial"/>
          <w:sz w:val="24"/>
          <w:szCs w:val="24"/>
        </w:rPr>
        <w:t>Agency</w:t>
      </w:r>
      <w:r w:rsidRPr="00F64313">
        <w:rPr>
          <w:rFonts w:ascii="Arial" w:eastAsia="Times New Roman" w:hAnsi="Arial" w:cs="Arial"/>
          <w:sz w:val="24"/>
          <w:szCs w:val="24"/>
        </w:rPr>
        <w:t xml:space="preserve">’s advanced opportunities program requires parent and student agreement to program requirements and completion of the </w:t>
      </w:r>
      <w:r w:rsidR="00F64313">
        <w:rPr>
          <w:rFonts w:ascii="Arial" w:eastAsia="Times New Roman" w:hAnsi="Arial" w:cs="Arial"/>
          <w:sz w:val="24"/>
          <w:szCs w:val="24"/>
        </w:rPr>
        <w:t>Agency</w:t>
      </w:r>
      <w:r w:rsidRPr="00F64313">
        <w:rPr>
          <w:rFonts w:ascii="Arial" w:eastAsia="Times New Roman" w:hAnsi="Arial" w:cs="Arial"/>
          <w:sz w:val="24"/>
          <w:szCs w:val="24"/>
        </w:rPr>
        <w:t>’s participation form documenting the program requirements found in 2435F.</w:t>
      </w:r>
      <w:r w:rsidRPr="00F64313">
        <w:rPr>
          <w:rFonts w:ascii="Arial" w:eastAsia="Times New Roman" w:hAnsi="Arial" w:cs="Arial"/>
          <w:sz w:val="24"/>
          <w:szCs w:val="24"/>
        </w:rPr>
        <w:br/>
      </w:r>
      <w:r w:rsidRPr="00F64313">
        <w:rPr>
          <w:rFonts w:ascii="Arial" w:eastAsia="Times New Roman" w:hAnsi="Arial" w:cs="Arial"/>
          <w:sz w:val="24"/>
          <w:szCs w:val="24"/>
        </w:rPr>
        <w:br/>
        <w:t>In order to ensure that students have a chance to participate in advanced opportunity programs, the Board hereby directs the Executive Director to establish procedures with timelines, requirements for participation, requirements for financial transactions, and transcription of credits. </w:t>
      </w:r>
      <w:r w:rsidRPr="00F64313">
        <w:rPr>
          <w:rFonts w:ascii="Arial" w:eastAsia="Times New Roman" w:hAnsi="Arial" w:cs="Arial"/>
          <w:sz w:val="24"/>
          <w:szCs w:val="24"/>
        </w:rPr>
        <w:br/>
      </w:r>
      <w:r w:rsidRPr="00F64313">
        <w:rPr>
          <w:rFonts w:ascii="Arial" w:eastAsia="Times New Roman" w:hAnsi="Arial" w:cs="Arial"/>
          <w:sz w:val="24"/>
          <w:szCs w:val="24"/>
        </w:rPr>
        <w:br/>
      </w:r>
      <w:r w:rsidRPr="00F64313">
        <w:rPr>
          <w:rFonts w:ascii="Arial" w:eastAsia="Times New Roman" w:hAnsi="Arial" w:cs="Arial"/>
          <w:sz w:val="24"/>
          <w:szCs w:val="24"/>
          <w:u w:val="single"/>
        </w:rPr>
        <w:t>Definitions</w:t>
      </w:r>
      <w:r w:rsidRPr="00F64313">
        <w:rPr>
          <w:rFonts w:ascii="Arial" w:eastAsia="Times New Roman" w:hAnsi="Arial" w:cs="Arial"/>
          <w:sz w:val="24"/>
          <w:szCs w:val="24"/>
        </w:rPr>
        <w:br/>
      </w:r>
      <w:r w:rsidRPr="00F64313">
        <w:rPr>
          <w:rFonts w:ascii="Arial" w:eastAsia="Times New Roman" w:hAnsi="Arial" w:cs="Arial"/>
          <w:sz w:val="24"/>
          <w:szCs w:val="24"/>
        </w:rPr>
        <w:br/>
        <w:t>"Credit" means middle level or high school credit.</w:t>
      </w:r>
      <w:r w:rsidRPr="00F64313">
        <w:rPr>
          <w:rFonts w:ascii="Arial" w:eastAsia="Times New Roman" w:hAnsi="Arial" w:cs="Arial"/>
          <w:sz w:val="24"/>
          <w:szCs w:val="24"/>
        </w:rPr>
        <w:br/>
      </w:r>
      <w:r w:rsidRPr="00F64313">
        <w:rPr>
          <w:rFonts w:ascii="Arial" w:eastAsia="Times New Roman" w:hAnsi="Arial" w:cs="Arial"/>
          <w:sz w:val="24"/>
          <w:szCs w:val="24"/>
        </w:rPr>
        <w:br/>
        <w:t>"Dual credit" means credit awarded to a student on his or her secondary and postsecondary transcript for the completion of a single course. Students may be allowed dual credit when approved in advance. </w:t>
      </w:r>
      <w:r w:rsidRPr="00F64313">
        <w:rPr>
          <w:rFonts w:ascii="Arial" w:eastAsia="Times New Roman" w:hAnsi="Arial" w:cs="Arial"/>
          <w:sz w:val="24"/>
          <w:szCs w:val="24"/>
        </w:rPr>
        <w:br/>
      </w:r>
      <w:r w:rsidRPr="00F64313">
        <w:rPr>
          <w:rFonts w:ascii="Arial" w:eastAsia="Times New Roman" w:hAnsi="Arial" w:cs="Arial"/>
          <w:sz w:val="24"/>
          <w:szCs w:val="24"/>
        </w:rPr>
        <w:br/>
        <w:t>"Full credit load" means at least 12 credits per school year for grades 7 through 12 or the maximum number of credits offered by the student's school during the regular school day per school year, whichever is greater. </w:t>
      </w:r>
      <w:r w:rsidRPr="00F64313">
        <w:rPr>
          <w:rFonts w:ascii="Arial" w:eastAsia="Times New Roman" w:hAnsi="Arial" w:cs="Arial"/>
          <w:sz w:val="24"/>
          <w:szCs w:val="24"/>
        </w:rPr>
        <w:br/>
      </w:r>
      <w:r w:rsidRPr="00F64313">
        <w:rPr>
          <w:rFonts w:ascii="Arial" w:eastAsia="Times New Roman" w:hAnsi="Arial" w:cs="Arial"/>
          <w:sz w:val="24"/>
          <w:szCs w:val="24"/>
        </w:rPr>
        <w:br/>
        <w:t>"Overload course" means a course taken that is in excess of a full credit load and outside of the regular school day, including summer courses</w:t>
      </w:r>
      <w:r w:rsidRPr="00F64313">
        <w:rPr>
          <w:rFonts w:ascii="Arial" w:eastAsia="Times New Roman" w:hAnsi="Arial" w:cs="Arial"/>
          <w:sz w:val="24"/>
          <w:szCs w:val="24"/>
        </w:rPr>
        <w:br/>
      </w:r>
      <w:r w:rsidRPr="00F64313">
        <w:rPr>
          <w:rFonts w:ascii="Arial" w:eastAsia="Times New Roman" w:hAnsi="Arial" w:cs="Arial"/>
          <w:sz w:val="24"/>
          <w:szCs w:val="24"/>
        </w:rPr>
        <w:br/>
        <w:t>"School year" means the normal school year that begins upon the conclusion of the spring semester leading up to the break between grades and ends upon the beginning of the same break of the following year.</w:t>
      </w:r>
      <w:r w:rsidRPr="00F64313">
        <w:rPr>
          <w:rFonts w:ascii="Arial" w:eastAsia="Times New Roman" w:hAnsi="Arial" w:cs="Arial"/>
          <w:sz w:val="24"/>
          <w:szCs w:val="24"/>
        </w:rPr>
        <w:br/>
      </w:r>
      <w:r w:rsidRPr="00F64313">
        <w:rPr>
          <w:rFonts w:ascii="Arial" w:eastAsia="Times New Roman" w:hAnsi="Arial" w:cs="Arial"/>
          <w:sz w:val="24"/>
          <w:szCs w:val="24"/>
        </w:rPr>
        <w:br/>
      </w:r>
      <w:r w:rsidRPr="00F64313">
        <w:rPr>
          <w:rFonts w:ascii="Arial" w:eastAsia="Times New Roman" w:hAnsi="Arial" w:cs="Arial"/>
          <w:sz w:val="24"/>
          <w:szCs w:val="24"/>
          <w:u w:val="single"/>
        </w:rPr>
        <w:t>Fast Forward Program</w:t>
      </w:r>
      <w:r w:rsidRPr="00F64313">
        <w:rPr>
          <w:rFonts w:ascii="Arial" w:eastAsia="Times New Roman" w:hAnsi="Arial" w:cs="Arial"/>
          <w:sz w:val="24"/>
          <w:szCs w:val="24"/>
        </w:rPr>
        <w:br/>
      </w:r>
      <w:r w:rsidRPr="00F64313">
        <w:rPr>
          <w:rFonts w:ascii="Arial" w:eastAsia="Times New Roman" w:hAnsi="Arial" w:cs="Arial"/>
          <w:sz w:val="24"/>
          <w:szCs w:val="24"/>
        </w:rPr>
        <w:br/>
        <w:t xml:space="preserve">The State’s Advanced Opportunities funding, known as the Fast Forward program, provides students in the </w:t>
      </w:r>
      <w:r w:rsidR="00F64313">
        <w:rPr>
          <w:rFonts w:ascii="Arial" w:eastAsia="Times New Roman" w:hAnsi="Arial" w:cs="Arial"/>
          <w:sz w:val="24"/>
          <w:szCs w:val="24"/>
        </w:rPr>
        <w:t>Agency</w:t>
      </w:r>
      <w:r w:rsidRPr="00F64313">
        <w:rPr>
          <w:rFonts w:ascii="Arial" w:eastAsia="Times New Roman" w:hAnsi="Arial" w:cs="Arial"/>
          <w:sz w:val="24"/>
          <w:szCs w:val="24"/>
        </w:rPr>
        <w:t xml:space="preserve"> with </w:t>
      </w:r>
      <w:r w:rsidR="00F64313">
        <w:rPr>
          <w:rFonts w:ascii="Arial" w:eastAsia="Times New Roman" w:hAnsi="Arial" w:cs="Arial"/>
          <w:sz w:val="24"/>
          <w:szCs w:val="24"/>
        </w:rPr>
        <w:t>$4625</w:t>
      </w:r>
      <w:r w:rsidRPr="00F64313">
        <w:rPr>
          <w:rFonts w:ascii="Arial" w:eastAsia="Times New Roman" w:hAnsi="Arial" w:cs="Arial"/>
          <w:sz w:val="24"/>
          <w:szCs w:val="24"/>
        </w:rPr>
        <w:t xml:space="preserve"> to use toward overload courses, dual credits, college credit-bearing examinations, caree</w:t>
      </w:r>
      <w:r w:rsidR="00F64313">
        <w:rPr>
          <w:rFonts w:ascii="Arial" w:eastAsia="Times New Roman" w:hAnsi="Arial" w:cs="Arial"/>
          <w:sz w:val="24"/>
          <w:szCs w:val="24"/>
        </w:rPr>
        <w:t>r-</w:t>
      </w:r>
      <w:r w:rsidRPr="00F64313">
        <w:rPr>
          <w:rFonts w:ascii="Arial" w:eastAsia="Times New Roman" w:hAnsi="Arial" w:cs="Arial"/>
          <w:sz w:val="24"/>
          <w:szCs w:val="24"/>
        </w:rPr>
        <w:t>technical certificate examinations, and federal registered workforce training programs that lead to regional ‘in demand’ jobs.</w:t>
      </w:r>
      <w:r w:rsidRPr="00F64313">
        <w:rPr>
          <w:rFonts w:ascii="Arial" w:eastAsia="Times New Roman" w:hAnsi="Arial" w:cs="Arial"/>
          <w:sz w:val="24"/>
          <w:szCs w:val="24"/>
        </w:rPr>
        <w:br/>
      </w:r>
      <w:r w:rsidRPr="00F64313">
        <w:rPr>
          <w:rFonts w:ascii="Arial" w:eastAsia="Times New Roman" w:hAnsi="Arial" w:cs="Arial"/>
          <w:sz w:val="24"/>
          <w:szCs w:val="24"/>
        </w:rPr>
        <w:br/>
        <w:t xml:space="preserve">Students may access these funds in grades 7 through 12 for: </w:t>
      </w:r>
    </w:p>
    <w:p w:rsidR="00CE1473" w:rsidRPr="00F64313" w:rsidRDefault="00DD44B8">
      <w:pPr>
        <w:numPr>
          <w:ilvl w:val="0"/>
          <w:numId w:val="1"/>
        </w:numPr>
        <w:spacing w:before="100" w:beforeAutospacing="1" w:after="100" w:afterAutospacing="1" w:line="240" w:lineRule="auto"/>
        <w:divId w:val="182403263"/>
        <w:rPr>
          <w:rFonts w:ascii="Arial" w:eastAsia="Times New Roman" w:hAnsi="Arial" w:cs="Arial"/>
          <w:sz w:val="24"/>
          <w:szCs w:val="24"/>
        </w:rPr>
      </w:pPr>
      <w:r w:rsidRPr="00F64313">
        <w:rPr>
          <w:rFonts w:ascii="Arial" w:eastAsia="Times New Roman" w:hAnsi="Arial" w:cs="Arial"/>
          <w:sz w:val="24"/>
          <w:szCs w:val="24"/>
        </w:rPr>
        <w:t xml:space="preserve">Overload courses, in an amount which may not exceed $225 per overload course. A student must take and successfully be completing a full credit load within a given school year to be eligible for funding of an overload course. An overload course </w:t>
      </w:r>
      <w:r w:rsidRPr="00F64313">
        <w:rPr>
          <w:rFonts w:ascii="Arial" w:eastAsia="Times New Roman" w:hAnsi="Arial" w:cs="Arial"/>
          <w:sz w:val="24"/>
          <w:szCs w:val="24"/>
        </w:rPr>
        <w:lastRenderedPageBreak/>
        <w:t>must be taken for high school credit to be eligible for funding.</w:t>
      </w:r>
      <w:r w:rsidRPr="00F64313">
        <w:rPr>
          <w:rFonts w:ascii="Arial" w:eastAsia="Times New Roman" w:hAnsi="Arial" w:cs="Arial"/>
          <w:sz w:val="24"/>
          <w:szCs w:val="24"/>
        </w:rPr>
        <w:br/>
        <w:t> </w:t>
      </w:r>
    </w:p>
    <w:p w:rsidR="00CE1473" w:rsidRPr="00F64313" w:rsidRDefault="00DD44B8">
      <w:pPr>
        <w:numPr>
          <w:ilvl w:val="0"/>
          <w:numId w:val="1"/>
        </w:numPr>
        <w:spacing w:before="100" w:beforeAutospacing="1" w:after="100" w:afterAutospacing="1" w:line="240" w:lineRule="auto"/>
        <w:divId w:val="182403263"/>
        <w:rPr>
          <w:rFonts w:ascii="Arial" w:eastAsia="Times New Roman" w:hAnsi="Arial" w:cs="Arial"/>
          <w:sz w:val="24"/>
          <w:szCs w:val="24"/>
        </w:rPr>
      </w:pPr>
      <w:r w:rsidRPr="00F64313">
        <w:rPr>
          <w:rFonts w:ascii="Arial" w:eastAsia="Times New Roman" w:hAnsi="Arial" w:cs="Arial"/>
          <w:sz w:val="24"/>
          <w:szCs w:val="24"/>
        </w:rPr>
        <w:t>Eligible dual credits, in an amount which may not exceed $75 per one dual credit hour.</w:t>
      </w:r>
      <w:r w:rsidRPr="00F64313">
        <w:rPr>
          <w:rFonts w:ascii="Arial" w:eastAsia="Times New Roman" w:hAnsi="Arial" w:cs="Arial"/>
          <w:sz w:val="24"/>
          <w:szCs w:val="24"/>
        </w:rPr>
        <w:br/>
        <w:t> </w:t>
      </w:r>
    </w:p>
    <w:p w:rsidR="00CE1473" w:rsidRPr="00F64313" w:rsidRDefault="00DD44B8">
      <w:pPr>
        <w:numPr>
          <w:ilvl w:val="0"/>
          <w:numId w:val="1"/>
        </w:numPr>
        <w:spacing w:before="100" w:beforeAutospacing="1" w:after="100" w:afterAutospacing="1" w:line="240" w:lineRule="auto"/>
        <w:divId w:val="182403263"/>
        <w:rPr>
          <w:rFonts w:ascii="Arial" w:eastAsia="Times New Roman" w:hAnsi="Arial" w:cs="Arial"/>
          <w:sz w:val="24"/>
          <w:szCs w:val="24"/>
        </w:rPr>
      </w:pPr>
      <w:r w:rsidRPr="00F64313">
        <w:rPr>
          <w:rFonts w:ascii="Arial" w:eastAsia="Times New Roman" w:hAnsi="Arial" w:cs="Arial"/>
          <w:sz w:val="24"/>
          <w:szCs w:val="24"/>
        </w:rPr>
        <w:t>Eligible postsecondary credit-bearing examinations.</w:t>
      </w:r>
      <w:r w:rsidRPr="00F64313">
        <w:rPr>
          <w:rFonts w:ascii="Arial" w:eastAsia="Times New Roman" w:hAnsi="Arial" w:cs="Arial"/>
          <w:sz w:val="24"/>
          <w:szCs w:val="24"/>
        </w:rPr>
        <w:br/>
        <w:t> </w:t>
      </w:r>
    </w:p>
    <w:p w:rsidR="00CE1473" w:rsidRPr="00F64313" w:rsidRDefault="00DD44B8">
      <w:pPr>
        <w:numPr>
          <w:ilvl w:val="0"/>
          <w:numId w:val="1"/>
        </w:numPr>
        <w:spacing w:before="100" w:beforeAutospacing="1" w:after="100" w:afterAutospacing="1" w:line="240" w:lineRule="auto"/>
        <w:divId w:val="182403263"/>
        <w:rPr>
          <w:rFonts w:ascii="Arial" w:eastAsia="Times New Roman" w:hAnsi="Arial" w:cs="Arial"/>
          <w:sz w:val="24"/>
          <w:szCs w:val="24"/>
        </w:rPr>
      </w:pPr>
      <w:r w:rsidRPr="00F64313">
        <w:rPr>
          <w:rFonts w:ascii="Arial" w:eastAsia="Times New Roman" w:hAnsi="Arial" w:cs="Arial"/>
          <w:sz w:val="24"/>
          <w:szCs w:val="24"/>
        </w:rPr>
        <w:t>Career technical education (CTE) examinations that lead to an industry-recognized certificate, license, or degree. </w:t>
      </w:r>
      <w:r w:rsidRPr="00F64313">
        <w:rPr>
          <w:rFonts w:ascii="Arial" w:eastAsia="Times New Roman" w:hAnsi="Arial" w:cs="Arial"/>
          <w:sz w:val="24"/>
          <w:szCs w:val="24"/>
        </w:rPr>
        <w:br/>
        <w:t> </w:t>
      </w:r>
    </w:p>
    <w:p w:rsidR="00CE1473" w:rsidRPr="00F64313" w:rsidRDefault="00DD44B8">
      <w:pPr>
        <w:numPr>
          <w:ilvl w:val="0"/>
          <w:numId w:val="1"/>
        </w:numPr>
        <w:spacing w:before="100" w:beforeAutospacing="1" w:after="100" w:afterAutospacing="1" w:line="240" w:lineRule="auto"/>
        <w:divId w:val="182403263"/>
        <w:rPr>
          <w:rFonts w:ascii="Arial" w:eastAsia="Times New Roman" w:hAnsi="Arial" w:cs="Arial"/>
          <w:sz w:val="24"/>
          <w:szCs w:val="24"/>
        </w:rPr>
      </w:pPr>
      <w:r w:rsidRPr="00F64313">
        <w:rPr>
          <w:rFonts w:ascii="Arial" w:eastAsia="Times New Roman" w:hAnsi="Arial" w:cs="Arial"/>
          <w:sz w:val="24"/>
          <w:szCs w:val="24"/>
        </w:rPr>
        <w:t>Eligible CTE workforce training courses</w:t>
      </w:r>
      <w:r w:rsidR="00F64313">
        <w:rPr>
          <w:rFonts w:ascii="Arial" w:eastAsia="Times New Roman" w:hAnsi="Arial" w:cs="Arial"/>
          <w:sz w:val="24"/>
          <w:szCs w:val="24"/>
        </w:rPr>
        <w:t xml:space="preserve">. A list of such eligible </w:t>
      </w:r>
      <w:r w:rsidRPr="00F64313">
        <w:rPr>
          <w:rFonts w:ascii="Arial" w:eastAsia="Times New Roman" w:hAnsi="Arial" w:cs="Arial"/>
          <w:sz w:val="24"/>
          <w:szCs w:val="24"/>
        </w:rPr>
        <w:t>training courses and costs will be maintained by the State Department of Education.</w:t>
      </w:r>
    </w:p>
    <w:p w:rsidR="00CE1473" w:rsidRPr="00F64313" w:rsidRDefault="00DD44B8">
      <w:pPr>
        <w:spacing w:after="0"/>
        <w:divId w:val="182403263"/>
        <w:rPr>
          <w:rFonts w:ascii="Arial" w:eastAsia="Times New Roman" w:hAnsi="Arial" w:cs="Arial"/>
          <w:sz w:val="24"/>
          <w:szCs w:val="24"/>
        </w:rPr>
      </w:pPr>
      <w:r w:rsidRPr="00F64313">
        <w:rPr>
          <w:rFonts w:ascii="Arial" w:eastAsia="Times New Roman" w:hAnsi="Arial" w:cs="Arial"/>
          <w:sz w:val="24"/>
          <w:szCs w:val="24"/>
        </w:rPr>
        <w:t>To qualify as an eligible overload course for the program, the course must be offered by a provider accredited by the organization that accredits Idaho high schools and be taught by an individual certified to teach the grade and subject area of the course in Idaho. Eligible examinations include advanced placement (AP), international baccalaureate (IB), college-level examination program (CLEP), and career-technical examinations. </w:t>
      </w:r>
      <w:r w:rsidRPr="00F64313">
        <w:rPr>
          <w:rFonts w:ascii="Arial" w:eastAsia="Times New Roman" w:hAnsi="Arial" w:cs="Arial"/>
          <w:sz w:val="24"/>
          <w:szCs w:val="24"/>
        </w:rPr>
        <w:br/>
      </w:r>
      <w:r w:rsidRPr="00F64313">
        <w:rPr>
          <w:rFonts w:ascii="Arial" w:eastAsia="Times New Roman" w:hAnsi="Arial" w:cs="Arial"/>
          <w:sz w:val="24"/>
          <w:szCs w:val="24"/>
        </w:rPr>
        <w:br/>
        <w:t xml:space="preserve">The </w:t>
      </w:r>
      <w:r w:rsidR="00F64313">
        <w:rPr>
          <w:rFonts w:ascii="Arial" w:eastAsia="Times New Roman" w:hAnsi="Arial" w:cs="Arial"/>
          <w:sz w:val="24"/>
          <w:szCs w:val="24"/>
        </w:rPr>
        <w:t>Agency</w:t>
      </w:r>
      <w:r w:rsidRPr="00F64313">
        <w:rPr>
          <w:rFonts w:ascii="Arial" w:eastAsia="Times New Roman" w:hAnsi="Arial" w:cs="Arial"/>
          <w:sz w:val="24"/>
          <w:szCs w:val="24"/>
        </w:rPr>
        <w:t xml:space="preserve"> shall make reasonable efforts to ensure that any student who considers participating in the </w:t>
      </w:r>
      <w:r w:rsidR="00F64313">
        <w:rPr>
          <w:rFonts w:ascii="Arial" w:eastAsia="Times New Roman" w:hAnsi="Arial" w:cs="Arial"/>
          <w:sz w:val="24"/>
          <w:szCs w:val="24"/>
        </w:rPr>
        <w:t>Agency</w:t>
      </w:r>
      <w:r w:rsidRPr="00F64313">
        <w:rPr>
          <w:rFonts w:ascii="Arial" w:eastAsia="Times New Roman" w:hAnsi="Arial" w:cs="Arial"/>
          <w:sz w:val="24"/>
          <w:szCs w:val="24"/>
        </w:rPr>
        <w:t xml:space="preserve">’s advanced opportunities program understands the challenges and time necessary to succeed in the program. The </w:t>
      </w:r>
      <w:r w:rsidR="00F64313">
        <w:rPr>
          <w:rFonts w:ascii="Arial" w:eastAsia="Times New Roman" w:hAnsi="Arial" w:cs="Arial"/>
          <w:sz w:val="24"/>
          <w:szCs w:val="24"/>
        </w:rPr>
        <w:t>Agency</w:t>
      </w:r>
      <w:r w:rsidRPr="00F64313">
        <w:rPr>
          <w:rFonts w:ascii="Arial" w:eastAsia="Times New Roman" w:hAnsi="Arial" w:cs="Arial"/>
          <w:sz w:val="24"/>
          <w:szCs w:val="24"/>
        </w:rPr>
        <w:t xml:space="preserve"> shall make such efforts prior to a student’s participation in the program.</w:t>
      </w:r>
      <w:r w:rsidRPr="00F64313">
        <w:rPr>
          <w:rFonts w:ascii="Arial" w:eastAsia="Times New Roman" w:hAnsi="Arial" w:cs="Arial"/>
          <w:sz w:val="24"/>
          <w:szCs w:val="24"/>
        </w:rPr>
        <w:br/>
      </w:r>
      <w:r w:rsidRPr="00F64313">
        <w:rPr>
          <w:rFonts w:ascii="Arial" w:eastAsia="Times New Roman" w:hAnsi="Arial" w:cs="Arial"/>
          <w:sz w:val="24"/>
          <w:szCs w:val="24"/>
        </w:rPr>
        <w:br/>
        <w:t xml:space="preserve">Parents of participating students may enroll their child in any eligible course, with or without the permission of the </w:t>
      </w:r>
      <w:r w:rsidR="00F64313">
        <w:rPr>
          <w:rFonts w:ascii="Arial" w:eastAsia="Times New Roman" w:hAnsi="Arial" w:cs="Arial"/>
          <w:sz w:val="24"/>
          <w:szCs w:val="24"/>
        </w:rPr>
        <w:t>Agency</w:t>
      </w:r>
      <w:r w:rsidRPr="00F64313">
        <w:rPr>
          <w:rFonts w:ascii="Arial" w:eastAsia="Times New Roman" w:hAnsi="Arial" w:cs="Arial"/>
          <w:sz w:val="24"/>
          <w:szCs w:val="24"/>
        </w:rPr>
        <w:t>, up to the course enrollment limits described in this policy. Each participating student's transcript shall include the credits earned and grades received by the student for any courses taken pursuant to this policy. For an eligible course to be transcribed as meeting the requirements of a core subject, as identified in administrative rule, the course must meet the approved content standards for the applicable subject and grade level.</w:t>
      </w:r>
      <w:r w:rsidRPr="00F64313">
        <w:rPr>
          <w:rFonts w:ascii="Arial" w:eastAsia="Times New Roman" w:hAnsi="Arial" w:cs="Arial"/>
          <w:sz w:val="24"/>
          <w:szCs w:val="24"/>
        </w:rPr>
        <w:br/>
      </w:r>
      <w:r w:rsidRPr="00F64313">
        <w:rPr>
          <w:rFonts w:ascii="Arial" w:eastAsia="Times New Roman" w:hAnsi="Arial" w:cs="Arial"/>
          <w:sz w:val="24"/>
          <w:szCs w:val="24"/>
        </w:rPr>
        <w:br/>
        <w:t xml:space="preserve">The </w:t>
      </w:r>
      <w:r w:rsidR="00F64313">
        <w:rPr>
          <w:rFonts w:ascii="Arial" w:eastAsia="Times New Roman" w:hAnsi="Arial" w:cs="Arial"/>
          <w:sz w:val="24"/>
          <w:szCs w:val="24"/>
        </w:rPr>
        <w:t>Agency</w:t>
      </w:r>
      <w:r w:rsidRPr="00F64313">
        <w:rPr>
          <w:rFonts w:ascii="Arial" w:eastAsia="Times New Roman" w:hAnsi="Arial" w:cs="Arial"/>
          <w:sz w:val="24"/>
          <w:szCs w:val="24"/>
        </w:rPr>
        <w:t xml:space="preserve"> shall establish timelines and requirements for participation in the program, including implementing procedures for the appropriate transcription of credits, reporting of program participation, and financial transaction requirements.</w:t>
      </w:r>
      <w:r w:rsidRPr="00F64313">
        <w:rPr>
          <w:rFonts w:ascii="Arial" w:eastAsia="Times New Roman" w:hAnsi="Arial" w:cs="Arial"/>
          <w:sz w:val="24"/>
          <w:szCs w:val="24"/>
        </w:rPr>
        <w:br/>
      </w:r>
      <w:r w:rsidRPr="00F64313">
        <w:rPr>
          <w:rFonts w:ascii="Arial" w:eastAsia="Times New Roman" w:hAnsi="Arial" w:cs="Arial"/>
          <w:sz w:val="24"/>
          <w:szCs w:val="24"/>
        </w:rPr>
        <w:br/>
        <w:t>A student who has earned 15 postsecondary credits using the advanced opportunities program and wishes to earn additional credits must first identify his or her postsecondary goals. Advisors shall counsel any student who wishes to take dual credit courses that the student should ascertain for him/herself whether the particular postsecondary institution that he or she desires to attend will accept the transfer of coursework under this section</w:t>
      </w:r>
      <w:r w:rsidRPr="00F64313">
        <w:rPr>
          <w:rFonts w:ascii="Arial" w:eastAsia="Times New Roman" w:hAnsi="Arial" w:cs="Arial"/>
          <w:sz w:val="24"/>
          <w:szCs w:val="24"/>
        </w:rPr>
        <w:br/>
      </w:r>
      <w:r w:rsidRPr="00F64313">
        <w:rPr>
          <w:rFonts w:ascii="Arial" w:eastAsia="Times New Roman" w:hAnsi="Arial" w:cs="Arial"/>
          <w:sz w:val="24"/>
          <w:szCs w:val="24"/>
        </w:rPr>
        <w:br/>
        <w:t xml:space="preserve">The </w:t>
      </w:r>
      <w:r w:rsidR="00F64313">
        <w:rPr>
          <w:rFonts w:ascii="Arial" w:eastAsia="Times New Roman" w:hAnsi="Arial" w:cs="Arial"/>
          <w:sz w:val="24"/>
          <w:szCs w:val="24"/>
        </w:rPr>
        <w:t>Agency</w:t>
      </w:r>
      <w:r w:rsidRPr="00F64313">
        <w:rPr>
          <w:rFonts w:ascii="Arial" w:eastAsia="Times New Roman" w:hAnsi="Arial" w:cs="Arial"/>
          <w:sz w:val="24"/>
          <w:szCs w:val="24"/>
        </w:rPr>
        <w:t xml:space="preserve"> will collaborate with publicly funded institutions of higher education in Idaho to assist students who seek to participate in dual credit courses or graduate high school early by enrolling in postsecondary courses.</w:t>
      </w:r>
      <w:r w:rsidRPr="00F64313">
        <w:rPr>
          <w:rFonts w:ascii="Arial" w:eastAsia="Times New Roman" w:hAnsi="Arial" w:cs="Arial"/>
          <w:sz w:val="24"/>
          <w:szCs w:val="24"/>
        </w:rPr>
        <w:br/>
      </w:r>
      <w:r w:rsidRPr="00F64313">
        <w:rPr>
          <w:rFonts w:ascii="Arial" w:eastAsia="Times New Roman" w:hAnsi="Arial" w:cs="Arial"/>
          <w:sz w:val="24"/>
          <w:szCs w:val="24"/>
        </w:rPr>
        <w:br/>
      </w:r>
      <w:r w:rsidRPr="00F64313">
        <w:rPr>
          <w:rFonts w:ascii="Arial" w:eastAsia="Times New Roman" w:hAnsi="Arial" w:cs="Arial"/>
          <w:sz w:val="24"/>
          <w:szCs w:val="24"/>
          <w:u w:val="single"/>
        </w:rPr>
        <w:t>Advanced Opportunities Scholarship</w:t>
      </w:r>
      <w:r w:rsidRPr="00F64313">
        <w:rPr>
          <w:rFonts w:ascii="Arial" w:eastAsia="Times New Roman" w:hAnsi="Arial" w:cs="Arial"/>
          <w:sz w:val="24"/>
          <w:szCs w:val="24"/>
        </w:rPr>
        <w:br/>
      </w:r>
      <w:r w:rsidRPr="00F64313">
        <w:rPr>
          <w:rFonts w:ascii="Arial" w:eastAsia="Times New Roman" w:hAnsi="Arial" w:cs="Arial"/>
          <w:sz w:val="24"/>
          <w:szCs w:val="24"/>
        </w:rPr>
        <w:br/>
        <w:t xml:space="preserve">Students who successfully complete grades 1 through 12 at least one year early may be eligible for an advanced opportunities scholarship. A student shall be </w:t>
      </w:r>
      <w:r w:rsidR="00F64313">
        <w:rPr>
          <w:rFonts w:ascii="Arial" w:eastAsia="Times New Roman" w:hAnsi="Arial" w:cs="Arial"/>
          <w:sz w:val="24"/>
          <w:szCs w:val="24"/>
        </w:rPr>
        <w:t>eligible if they:</w:t>
      </w:r>
    </w:p>
    <w:p w:rsidR="00CE1473" w:rsidRPr="00F64313" w:rsidRDefault="00DD44B8">
      <w:pPr>
        <w:numPr>
          <w:ilvl w:val="0"/>
          <w:numId w:val="2"/>
        </w:numPr>
        <w:spacing w:before="100" w:beforeAutospacing="1" w:after="100" w:afterAutospacing="1" w:line="240" w:lineRule="auto"/>
        <w:divId w:val="182403263"/>
        <w:rPr>
          <w:rFonts w:ascii="Arial" w:eastAsia="Times New Roman" w:hAnsi="Arial" w:cs="Arial"/>
          <w:sz w:val="24"/>
          <w:szCs w:val="24"/>
        </w:rPr>
      </w:pPr>
      <w:r w:rsidRPr="00F64313">
        <w:rPr>
          <w:rFonts w:ascii="Arial" w:eastAsia="Times New Roman" w:hAnsi="Arial" w:cs="Arial"/>
          <w:sz w:val="24"/>
          <w:szCs w:val="24"/>
        </w:rPr>
        <w:lastRenderedPageBreak/>
        <w:t>Shows that</w:t>
      </w:r>
      <w:r w:rsidR="00F64313">
        <w:rPr>
          <w:rFonts w:ascii="Arial" w:eastAsia="Times New Roman" w:hAnsi="Arial" w:cs="Arial"/>
          <w:sz w:val="24"/>
          <w:szCs w:val="24"/>
        </w:rPr>
        <w:t xml:space="preserve"> they have </w:t>
      </w:r>
      <w:r w:rsidRPr="00F64313">
        <w:rPr>
          <w:rFonts w:ascii="Arial" w:eastAsia="Times New Roman" w:hAnsi="Arial" w:cs="Arial"/>
          <w:sz w:val="24"/>
          <w:szCs w:val="24"/>
        </w:rPr>
        <w:t xml:space="preserve">met all of the graduation requirements of the </w:t>
      </w:r>
      <w:r w:rsidR="00F64313">
        <w:rPr>
          <w:rFonts w:ascii="Arial" w:eastAsia="Times New Roman" w:hAnsi="Arial" w:cs="Arial"/>
          <w:sz w:val="24"/>
          <w:szCs w:val="24"/>
        </w:rPr>
        <w:t>Agency</w:t>
      </w:r>
      <w:r w:rsidRPr="00F64313">
        <w:rPr>
          <w:rFonts w:ascii="Arial" w:eastAsia="Times New Roman" w:hAnsi="Arial" w:cs="Arial"/>
          <w:sz w:val="24"/>
          <w:szCs w:val="24"/>
        </w:rPr>
        <w:t>; and</w:t>
      </w:r>
    </w:p>
    <w:p w:rsidR="00CE1473" w:rsidRPr="00F64313" w:rsidRDefault="00DD44B8">
      <w:pPr>
        <w:numPr>
          <w:ilvl w:val="0"/>
          <w:numId w:val="2"/>
        </w:numPr>
        <w:spacing w:before="100" w:beforeAutospacing="1" w:after="100" w:afterAutospacing="1" w:line="240" w:lineRule="auto"/>
        <w:divId w:val="182403263"/>
        <w:rPr>
          <w:rFonts w:ascii="Arial" w:eastAsia="Times New Roman" w:hAnsi="Arial" w:cs="Arial"/>
          <w:sz w:val="24"/>
          <w:szCs w:val="24"/>
        </w:rPr>
      </w:pPr>
      <w:r w:rsidRPr="00F64313">
        <w:rPr>
          <w:rFonts w:ascii="Arial" w:eastAsia="Times New Roman" w:hAnsi="Arial" w:cs="Arial"/>
          <w:sz w:val="24"/>
          <w:szCs w:val="24"/>
        </w:rPr>
        <w:t>Complete</w:t>
      </w:r>
      <w:r w:rsidR="00F64313">
        <w:rPr>
          <w:rFonts w:ascii="Arial" w:eastAsia="Times New Roman" w:hAnsi="Arial" w:cs="Arial"/>
          <w:sz w:val="24"/>
          <w:szCs w:val="24"/>
        </w:rPr>
        <w:t xml:space="preserve"> </w:t>
      </w:r>
      <w:r w:rsidRPr="00F64313">
        <w:rPr>
          <w:rFonts w:ascii="Arial" w:eastAsia="Times New Roman" w:hAnsi="Arial" w:cs="Arial"/>
          <w:sz w:val="24"/>
          <w:szCs w:val="24"/>
        </w:rPr>
        <w:t>grades 1 through 12 curriculums in 11 or fewer years. </w:t>
      </w:r>
    </w:p>
    <w:p w:rsidR="00CE1473" w:rsidRPr="00F64313" w:rsidRDefault="00DD44B8">
      <w:pPr>
        <w:numPr>
          <w:ilvl w:val="0"/>
          <w:numId w:val="2"/>
        </w:numPr>
        <w:spacing w:before="100" w:beforeAutospacing="1" w:after="100" w:afterAutospacing="1" w:line="240" w:lineRule="auto"/>
        <w:divId w:val="182403263"/>
        <w:rPr>
          <w:rFonts w:ascii="Arial" w:eastAsia="Times New Roman" w:hAnsi="Arial" w:cs="Arial"/>
          <w:sz w:val="24"/>
          <w:szCs w:val="24"/>
        </w:rPr>
      </w:pPr>
      <w:r w:rsidRPr="00F64313">
        <w:rPr>
          <w:rFonts w:ascii="Arial" w:eastAsia="Times New Roman" w:hAnsi="Arial" w:cs="Arial"/>
          <w:sz w:val="24"/>
          <w:szCs w:val="24"/>
        </w:rPr>
        <w:t>App</w:t>
      </w:r>
      <w:r w:rsidR="00F64313">
        <w:rPr>
          <w:rFonts w:ascii="Arial" w:eastAsia="Times New Roman" w:hAnsi="Arial" w:cs="Arial"/>
          <w:sz w:val="24"/>
          <w:szCs w:val="24"/>
        </w:rPr>
        <w:t>ly</w:t>
      </w:r>
      <w:r w:rsidRPr="00F64313">
        <w:rPr>
          <w:rFonts w:ascii="Arial" w:eastAsia="Times New Roman" w:hAnsi="Arial" w:cs="Arial"/>
          <w:sz w:val="24"/>
          <w:szCs w:val="24"/>
        </w:rPr>
        <w:t xml:space="preserve"> within two years of graduating from a public school. </w:t>
      </w:r>
    </w:p>
    <w:p w:rsidR="00736B88" w:rsidRPr="00F64313" w:rsidRDefault="00DD44B8" w:rsidP="00F64313">
      <w:pPr>
        <w:spacing w:after="0"/>
        <w:divId w:val="182403263"/>
        <w:rPr>
          <w:rFonts w:ascii="Arial" w:eastAsia="Times New Roman" w:hAnsi="Arial" w:cs="Arial"/>
          <w:sz w:val="24"/>
          <w:szCs w:val="24"/>
        </w:rPr>
      </w:pPr>
      <w:r w:rsidRPr="00F64313">
        <w:rPr>
          <w:rFonts w:ascii="Arial" w:eastAsia="Times New Roman" w:hAnsi="Arial" w:cs="Arial"/>
          <w:sz w:val="24"/>
          <w:szCs w:val="24"/>
        </w:rPr>
        <w:t>A student is not required to graduate early and can choose to participate in dual credit or advanced placement classes upon meeting these criteria.</w:t>
      </w:r>
      <w:r w:rsidRPr="00F64313">
        <w:rPr>
          <w:rFonts w:ascii="Arial" w:eastAsia="Times New Roman" w:hAnsi="Arial" w:cs="Arial"/>
          <w:sz w:val="24"/>
          <w:szCs w:val="24"/>
        </w:rPr>
        <w:br/>
      </w:r>
      <w:r w:rsidRPr="00F64313">
        <w:rPr>
          <w:rFonts w:ascii="Arial" w:eastAsia="Times New Roman" w:hAnsi="Arial" w:cs="Arial"/>
          <w:sz w:val="24"/>
          <w:szCs w:val="24"/>
        </w:rPr>
        <w:br/>
        <w:t>If an eligible student requests an advanced opportunities scholarship, the student shall be entitled to such a scholarship which may be used for tuition and fees at any publicly funded institution of higher education in Idaho. The amount of such scholarship shall equal 35 percent of the statewide average daily attendance-driven funding per enrolled pupil for each year of grades 1-12 curriculum the student avoids due to early graduation.</w:t>
      </w:r>
      <w:r w:rsidRPr="00F64313">
        <w:rPr>
          <w:rFonts w:ascii="Arial" w:eastAsia="Times New Roman" w:hAnsi="Arial" w:cs="Arial"/>
          <w:sz w:val="24"/>
          <w:szCs w:val="24"/>
        </w:rPr>
        <w:br/>
      </w:r>
      <w:r w:rsidRPr="00F64313">
        <w:rPr>
          <w:rFonts w:ascii="Arial" w:eastAsia="Times New Roman" w:hAnsi="Arial" w:cs="Arial"/>
          <w:sz w:val="24"/>
          <w:szCs w:val="24"/>
        </w:rPr>
        <w:br/>
        <w:t xml:space="preserve">The </w:t>
      </w:r>
      <w:r w:rsidR="00F64313">
        <w:rPr>
          <w:rFonts w:ascii="Arial" w:eastAsia="Times New Roman" w:hAnsi="Arial" w:cs="Arial"/>
          <w:sz w:val="24"/>
          <w:szCs w:val="24"/>
        </w:rPr>
        <w:t>Agency</w:t>
      </w:r>
      <w:r w:rsidRPr="00F64313">
        <w:rPr>
          <w:rFonts w:ascii="Arial" w:eastAsia="Times New Roman" w:hAnsi="Arial" w:cs="Arial"/>
          <w:sz w:val="24"/>
          <w:szCs w:val="24"/>
        </w:rPr>
        <w:t xml:space="preserve"> shall collaborate with publicly funded institutions of higher education in Idaho to assist early-graduating students in enrolling in postsecondary or advanced placement courses held in high school.</w:t>
      </w:r>
      <w:r w:rsidRPr="00F64313">
        <w:rPr>
          <w:rFonts w:ascii="Arial" w:eastAsia="Times New Roman" w:hAnsi="Arial" w:cs="Arial"/>
          <w:sz w:val="24"/>
          <w:szCs w:val="24"/>
        </w:rPr>
        <w:br/>
        <w:t xml:space="preserve">  </w:t>
      </w: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736B88" w:rsidRPr="00F64313">
        <w:tc>
          <w:tcPr>
            <w:tcW w:w="4017" w:type="dxa"/>
          </w:tcPr>
          <w:p w:rsidR="00736B88" w:rsidRPr="00F64313" w:rsidRDefault="00DD44B8">
            <w:pPr>
              <w:spacing w:after="0"/>
              <w:rPr>
                <w:rFonts w:ascii="Arial" w:hAnsi="Arial" w:cs="Arial"/>
                <w:sz w:val="24"/>
                <w:szCs w:val="24"/>
              </w:rPr>
            </w:pPr>
            <w:r w:rsidRPr="00F64313">
              <w:rPr>
                <w:rFonts w:ascii="Arial" w:hAnsi="Arial" w:cs="Arial"/>
                <w:b/>
                <w:sz w:val="24"/>
                <w:szCs w:val="24"/>
              </w:rPr>
              <w:t>Legal References</w:t>
            </w:r>
          </w:p>
        </w:tc>
        <w:tc>
          <w:tcPr>
            <w:tcW w:w="5961" w:type="dxa"/>
          </w:tcPr>
          <w:p w:rsidR="00736B88" w:rsidRPr="00F64313" w:rsidRDefault="00DD44B8">
            <w:pPr>
              <w:spacing w:after="0"/>
              <w:rPr>
                <w:rFonts w:ascii="Arial" w:hAnsi="Arial" w:cs="Arial"/>
                <w:sz w:val="24"/>
                <w:szCs w:val="24"/>
              </w:rPr>
            </w:pPr>
            <w:r w:rsidRPr="00F64313">
              <w:rPr>
                <w:rFonts w:ascii="Arial" w:hAnsi="Arial" w:cs="Arial"/>
                <w:b/>
                <w:sz w:val="24"/>
                <w:szCs w:val="24"/>
              </w:rPr>
              <w:t>Description</w:t>
            </w:r>
          </w:p>
        </w:tc>
      </w:tr>
      <w:tr w:rsidR="00736B88" w:rsidRPr="00F64313">
        <w:tc>
          <w:tcPr>
            <w:tcW w:w="4017" w:type="dxa"/>
          </w:tcPr>
          <w:p w:rsidR="00736B88" w:rsidRPr="00F64313" w:rsidRDefault="00DD44B8">
            <w:pPr>
              <w:spacing w:after="0"/>
              <w:rPr>
                <w:rFonts w:ascii="Arial" w:hAnsi="Arial" w:cs="Arial"/>
                <w:sz w:val="24"/>
                <w:szCs w:val="24"/>
              </w:rPr>
            </w:pPr>
            <w:r w:rsidRPr="00F64313">
              <w:rPr>
                <w:rFonts w:ascii="Arial" w:hAnsi="Arial" w:cs="Arial"/>
                <w:sz w:val="24"/>
                <w:szCs w:val="24"/>
              </w:rPr>
              <w:t>IC § 33-4601</w:t>
            </w:r>
          </w:p>
        </w:tc>
        <w:tc>
          <w:tcPr>
            <w:tcW w:w="5961" w:type="dxa"/>
          </w:tcPr>
          <w:p w:rsidR="00736B88" w:rsidRPr="00F64313" w:rsidRDefault="00DD44B8">
            <w:pPr>
              <w:rPr>
                <w:rFonts w:ascii="Arial" w:hAnsi="Arial" w:cs="Arial"/>
                <w:sz w:val="24"/>
                <w:szCs w:val="24"/>
              </w:rPr>
            </w:pPr>
            <w:r w:rsidRPr="00F64313">
              <w:rPr>
                <w:rFonts w:ascii="Arial" w:hAnsi="Arial" w:cs="Arial"/>
                <w:sz w:val="24"/>
                <w:szCs w:val="24"/>
              </w:rPr>
              <w:t>Advanced Opportunities - Definitions</w:t>
            </w:r>
          </w:p>
        </w:tc>
      </w:tr>
      <w:tr w:rsidR="00736B88" w:rsidRPr="00F64313">
        <w:tc>
          <w:tcPr>
            <w:tcW w:w="4017" w:type="dxa"/>
          </w:tcPr>
          <w:p w:rsidR="00736B88" w:rsidRPr="00F64313" w:rsidRDefault="00DD44B8">
            <w:pPr>
              <w:spacing w:after="0"/>
              <w:rPr>
                <w:rFonts w:ascii="Arial" w:hAnsi="Arial" w:cs="Arial"/>
                <w:sz w:val="24"/>
                <w:szCs w:val="24"/>
              </w:rPr>
            </w:pPr>
            <w:r w:rsidRPr="00F64313">
              <w:rPr>
                <w:rFonts w:ascii="Arial" w:hAnsi="Arial" w:cs="Arial"/>
                <w:sz w:val="24"/>
                <w:szCs w:val="24"/>
              </w:rPr>
              <w:t>IC § 33-4602</w:t>
            </w:r>
          </w:p>
        </w:tc>
        <w:tc>
          <w:tcPr>
            <w:tcW w:w="5961" w:type="dxa"/>
          </w:tcPr>
          <w:p w:rsidR="00736B88" w:rsidRPr="00F64313" w:rsidRDefault="00DD44B8">
            <w:pPr>
              <w:rPr>
                <w:rFonts w:ascii="Arial" w:hAnsi="Arial" w:cs="Arial"/>
                <w:sz w:val="24"/>
                <w:szCs w:val="24"/>
              </w:rPr>
            </w:pPr>
            <w:r w:rsidRPr="00F64313">
              <w:rPr>
                <w:rFonts w:ascii="Arial" w:hAnsi="Arial" w:cs="Arial"/>
                <w:sz w:val="24"/>
                <w:szCs w:val="24"/>
              </w:rPr>
              <w:t>Advanced Opportunities—Rulemaking</w:t>
            </w:r>
          </w:p>
        </w:tc>
      </w:tr>
      <w:tr w:rsidR="00736B88" w:rsidRPr="00F64313">
        <w:tc>
          <w:tcPr>
            <w:tcW w:w="4017" w:type="dxa"/>
          </w:tcPr>
          <w:p w:rsidR="00736B88" w:rsidRPr="00F64313" w:rsidRDefault="00DD44B8">
            <w:pPr>
              <w:spacing w:after="0"/>
              <w:rPr>
                <w:rFonts w:ascii="Arial" w:hAnsi="Arial" w:cs="Arial"/>
                <w:sz w:val="24"/>
                <w:szCs w:val="24"/>
              </w:rPr>
            </w:pPr>
            <w:r w:rsidRPr="00F64313">
              <w:rPr>
                <w:rFonts w:ascii="Arial" w:hAnsi="Arial" w:cs="Arial"/>
                <w:sz w:val="24"/>
                <w:szCs w:val="24"/>
              </w:rPr>
              <w:t>IDAPA 08.02.03.106</w:t>
            </w:r>
          </w:p>
        </w:tc>
        <w:tc>
          <w:tcPr>
            <w:tcW w:w="5961" w:type="dxa"/>
          </w:tcPr>
          <w:p w:rsidR="00736B88" w:rsidRPr="00F64313" w:rsidRDefault="00DD44B8">
            <w:pPr>
              <w:rPr>
                <w:rFonts w:ascii="Arial" w:hAnsi="Arial" w:cs="Arial"/>
                <w:sz w:val="24"/>
                <w:szCs w:val="24"/>
              </w:rPr>
            </w:pPr>
            <w:r w:rsidRPr="00F64313">
              <w:rPr>
                <w:rFonts w:ascii="Arial" w:hAnsi="Arial" w:cs="Arial"/>
                <w:sz w:val="24"/>
                <w:szCs w:val="24"/>
              </w:rPr>
              <w:t>Advanced Opportunities</w:t>
            </w:r>
          </w:p>
        </w:tc>
      </w:tr>
      <w:tr w:rsidR="00736B88" w:rsidRPr="00F64313">
        <w:tc>
          <w:tcPr>
            <w:tcW w:w="4017" w:type="dxa"/>
          </w:tcPr>
          <w:p w:rsidR="00736B88" w:rsidRPr="00F64313" w:rsidRDefault="00DD44B8">
            <w:pPr>
              <w:spacing w:after="0"/>
              <w:rPr>
                <w:rFonts w:ascii="Arial" w:hAnsi="Arial" w:cs="Arial"/>
                <w:sz w:val="24"/>
                <w:szCs w:val="24"/>
              </w:rPr>
            </w:pPr>
            <w:r w:rsidRPr="00F64313">
              <w:rPr>
                <w:rFonts w:ascii="Arial" w:hAnsi="Arial" w:cs="Arial"/>
                <w:b/>
                <w:sz w:val="24"/>
                <w:szCs w:val="24"/>
              </w:rPr>
              <w:t>Other References</w:t>
            </w:r>
          </w:p>
        </w:tc>
        <w:tc>
          <w:tcPr>
            <w:tcW w:w="5961" w:type="dxa"/>
          </w:tcPr>
          <w:p w:rsidR="00736B88" w:rsidRPr="00F64313" w:rsidRDefault="00DD44B8">
            <w:pPr>
              <w:spacing w:after="0"/>
              <w:rPr>
                <w:rFonts w:ascii="Arial" w:hAnsi="Arial" w:cs="Arial"/>
                <w:sz w:val="24"/>
                <w:szCs w:val="24"/>
              </w:rPr>
            </w:pPr>
            <w:r w:rsidRPr="00F64313">
              <w:rPr>
                <w:rFonts w:ascii="Arial" w:hAnsi="Arial" w:cs="Arial"/>
                <w:b/>
                <w:sz w:val="24"/>
                <w:szCs w:val="24"/>
              </w:rPr>
              <w:t>Description</w:t>
            </w:r>
          </w:p>
        </w:tc>
      </w:tr>
      <w:tr w:rsidR="00736B88" w:rsidRPr="00F64313">
        <w:tc>
          <w:tcPr>
            <w:tcW w:w="4017" w:type="dxa"/>
          </w:tcPr>
          <w:p w:rsidR="00736B88" w:rsidRPr="00F64313" w:rsidRDefault="00DD44B8">
            <w:pPr>
              <w:spacing w:after="0"/>
              <w:rPr>
                <w:rFonts w:ascii="Arial" w:hAnsi="Arial" w:cs="Arial"/>
                <w:sz w:val="24"/>
                <w:szCs w:val="24"/>
              </w:rPr>
            </w:pPr>
            <w:r w:rsidRPr="00F64313">
              <w:rPr>
                <w:rFonts w:ascii="Arial" w:hAnsi="Arial" w:cs="Arial"/>
                <w:sz w:val="24"/>
                <w:szCs w:val="24"/>
              </w:rPr>
              <w:t>Idaho State Department of Education</w:t>
            </w:r>
          </w:p>
        </w:tc>
        <w:tc>
          <w:tcPr>
            <w:tcW w:w="5961" w:type="dxa"/>
          </w:tcPr>
          <w:p w:rsidR="00736B88" w:rsidRPr="00F64313" w:rsidRDefault="00DD44B8">
            <w:pPr>
              <w:rPr>
                <w:rFonts w:ascii="Arial" w:hAnsi="Arial" w:cs="Arial"/>
                <w:sz w:val="24"/>
                <w:szCs w:val="24"/>
              </w:rPr>
            </w:pPr>
            <w:r w:rsidRPr="00F64313">
              <w:rPr>
                <w:rFonts w:ascii="Arial" w:hAnsi="Arial" w:cs="Arial"/>
                <w:sz w:val="24"/>
                <w:szCs w:val="24"/>
              </w:rPr>
              <w:t>Advanced Opportunities</w:t>
            </w:r>
            <w:r w:rsidR="00F64313" w:rsidRPr="00F64313">
              <w:rPr>
                <w:rFonts w:ascii="Arial" w:hAnsi="Arial" w:cs="Arial"/>
                <w:sz w:val="24"/>
                <w:szCs w:val="24"/>
              </w:rPr>
              <w:t xml:space="preserve"> Portal</w:t>
            </w:r>
          </w:p>
        </w:tc>
      </w:tr>
    </w:tbl>
    <w:p w:rsidR="00CE1473" w:rsidRPr="00F64313" w:rsidRDefault="00DD44B8">
      <w:pPr>
        <w:shd w:val="clear" w:color="auto" w:fill="F9F9F9"/>
        <w:spacing w:line="480" w:lineRule="auto"/>
        <w:divId w:val="140974735"/>
        <w:rPr>
          <w:rFonts w:ascii="Arial" w:eastAsia="Times New Roman" w:hAnsi="Arial" w:cs="Arial"/>
          <w:b/>
          <w:bCs/>
          <w:sz w:val="24"/>
          <w:szCs w:val="24"/>
        </w:rPr>
      </w:pPr>
      <w:r w:rsidRPr="00F64313">
        <w:rPr>
          <w:rFonts w:ascii="Arial" w:eastAsia="Times New Roman" w:hAnsi="Arial" w:cs="Arial"/>
          <w:b/>
          <w:bCs/>
          <w:sz w:val="24"/>
          <w:szCs w:val="24"/>
        </w:rPr>
        <w:t>Cross References</w:t>
      </w: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736B88" w:rsidRPr="00F64313" w:rsidTr="00BA049D">
        <w:tc>
          <w:tcPr>
            <w:tcW w:w="4023" w:type="dxa"/>
          </w:tcPr>
          <w:p w:rsidR="00736B88" w:rsidRPr="00F64313" w:rsidRDefault="00DD44B8">
            <w:pPr>
              <w:spacing w:after="0"/>
              <w:rPr>
                <w:rFonts w:ascii="Arial" w:hAnsi="Arial" w:cs="Arial"/>
                <w:sz w:val="24"/>
                <w:szCs w:val="24"/>
              </w:rPr>
            </w:pPr>
            <w:r w:rsidRPr="00F64313">
              <w:rPr>
                <w:rFonts w:ascii="Arial" w:hAnsi="Arial" w:cs="Arial"/>
                <w:b/>
                <w:sz w:val="24"/>
                <w:szCs w:val="24"/>
              </w:rPr>
              <w:t>Code</w:t>
            </w:r>
          </w:p>
        </w:tc>
        <w:tc>
          <w:tcPr>
            <w:tcW w:w="5970" w:type="dxa"/>
          </w:tcPr>
          <w:p w:rsidR="00736B88" w:rsidRPr="00F64313" w:rsidRDefault="00DD44B8">
            <w:pPr>
              <w:spacing w:after="0"/>
              <w:rPr>
                <w:rFonts w:ascii="Arial" w:hAnsi="Arial" w:cs="Arial"/>
                <w:sz w:val="24"/>
                <w:szCs w:val="24"/>
              </w:rPr>
            </w:pPr>
            <w:r w:rsidRPr="00F64313">
              <w:rPr>
                <w:rFonts w:ascii="Arial" w:hAnsi="Arial" w:cs="Arial"/>
                <w:b/>
                <w:sz w:val="24"/>
                <w:szCs w:val="24"/>
              </w:rPr>
              <w:t>Description</w:t>
            </w:r>
          </w:p>
        </w:tc>
      </w:tr>
      <w:tr w:rsidR="00736B88" w:rsidRPr="00F64313" w:rsidTr="00BA049D">
        <w:tc>
          <w:tcPr>
            <w:tcW w:w="4023" w:type="dxa"/>
          </w:tcPr>
          <w:p w:rsidR="00736B88" w:rsidRPr="00F64313" w:rsidRDefault="00DD44B8">
            <w:pPr>
              <w:spacing w:after="0"/>
              <w:rPr>
                <w:rFonts w:ascii="Arial" w:hAnsi="Arial" w:cs="Arial"/>
                <w:sz w:val="24"/>
                <w:szCs w:val="24"/>
              </w:rPr>
            </w:pPr>
            <w:r w:rsidRPr="00F64313">
              <w:rPr>
                <w:rFonts w:ascii="Arial" w:hAnsi="Arial" w:cs="Arial"/>
                <w:sz w:val="24"/>
                <w:szCs w:val="24"/>
              </w:rPr>
              <w:t>2700</w:t>
            </w:r>
          </w:p>
        </w:tc>
        <w:tc>
          <w:tcPr>
            <w:tcW w:w="5970" w:type="dxa"/>
          </w:tcPr>
          <w:p w:rsidR="00736B88" w:rsidRPr="00F64313" w:rsidRDefault="00DD44B8">
            <w:pPr>
              <w:rPr>
                <w:rFonts w:ascii="Arial" w:hAnsi="Arial" w:cs="Arial"/>
                <w:sz w:val="24"/>
                <w:szCs w:val="24"/>
              </w:rPr>
            </w:pPr>
            <w:r w:rsidRPr="00F64313">
              <w:rPr>
                <w:rFonts w:ascii="Arial" w:hAnsi="Arial" w:cs="Arial"/>
                <w:sz w:val="24"/>
                <w:szCs w:val="24"/>
              </w:rPr>
              <w:t>High School Graduation Requirements</w:t>
            </w:r>
          </w:p>
        </w:tc>
      </w:tr>
      <w:tr w:rsidR="00736B88" w:rsidRPr="00F64313" w:rsidTr="00BA049D">
        <w:tc>
          <w:tcPr>
            <w:tcW w:w="4023" w:type="dxa"/>
          </w:tcPr>
          <w:p w:rsidR="00736B88" w:rsidRDefault="00736B88">
            <w:pPr>
              <w:spacing w:after="0"/>
              <w:rPr>
                <w:rFonts w:ascii="Arial" w:hAnsi="Arial" w:cs="Arial"/>
                <w:sz w:val="24"/>
                <w:szCs w:val="24"/>
              </w:rPr>
            </w:pPr>
          </w:p>
          <w:p w:rsidR="005424C0" w:rsidRDefault="005424C0" w:rsidP="005424C0">
            <w:pPr>
              <w:rPr>
                <w:rFonts w:ascii="Arial" w:hAnsi="Arial" w:cs="Arial"/>
                <w:b/>
                <w:sz w:val="24"/>
                <w:szCs w:val="24"/>
              </w:rPr>
            </w:pPr>
            <w:r>
              <w:rPr>
                <w:rFonts w:ascii="Arial" w:hAnsi="Arial" w:cs="Arial"/>
                <w:b/>
                <w:sz w:val="24"/>
                <w:szCs w:val="24"/>
              </w:rPr>
              <w:t>POLICY HISTORY:</w:t>
            </w:r>
          </w:p>
          <w:p w:rsidR="005424C0" w:rsidRPr="00F64313" w:rsidRDefault="005424C0" w:rsidP="00A92CDE">
            <w:pPr>
              <w:rPr>
                <w:rFonts w:ascii="Arial" w:hAnsi="Arial" w:cs="Arial"/>
                <w:sz w:val="24"/>
                <w:szCs w:val="24"/>
              </w:rPr>
            </w:pPr>
            <w:r>
              <w:rPr>
                <w:rFonts w:ascii="Arial" w:hAnsi="Arial" w:cs="Arial"/>
                <w:b/>
                <w:sz w:val="24"/>
                <w:szCs w:val="24"/>
              </w:rPr>
              <w:tab/>
              <w:t xml:space="preserve">Adopted: </w:t>
            </w:r>
            <w:r>
              <w:rPr>
                <w:rFonts w:ascii="Arial" w:hAnsi="Arial" w:cs="Arial"/>
                <w:b/>
                <w:sz w:val="24"/>
                <w:szCs w:val="24"/>
              </w:rPr>
              <w:tab/>
            </w:r>
            <w:r w:rsidR="00A92CDE">
              <w:rPr>
                <w:rFonts w:ascii="Arial" w:hAnsi="Arial" w:cs="Arial"/>
                <w:b/>
                <w:sz w:val="24"/>
                <w:szCs w:val="24"/>
              </w:rPr>
              <w:t>August 19, 2024</w:t>
            </w:r>
            <w:bookmarkStart w:id="0" w:name="_GoBack"/>
            <w:bookmarkEnd w:id="0"/>
          </w:p>
        </w:tc>
        <w:tc>
          <w:tcPr>
            <w:tcW w:w="5970" w:type="dxa"/>
          </w:tcPr>
          <w:p w:rsidR="00736B88" w:rsidRPr="00F64313" w:rsidRDefault="00736B88">
            <w:pPr>
              <w:rPr>
                <w:rFonts w:ascii="Arial" w:hAnsi="Arial" w:cs="Arial"/>
                <w:sz w:val="24"/>
                <w:szCs w:val="24"/>
              </w:rPr>
            </w:pPr>
          </w:p>
        </w:tc>
      </w:tr>
    </w:tbl>
    <w:p w:rsidR="00DD44B8" w:rsidRDefault="00DD44B8"/>
    <w:sectPr w:rsidR="00DD44B8">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C077E"/>
    <w:multiLevelType w:val="multilevel"/>
    <w:tmpl w:val="4EF0C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2061CE"/>
    <w:multiLevelType w:val="multilevel"/>
    <w:tmpl w:val="EAD47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B88"/>
    <w:rsid w:val="004940A3"/>
    <w:rsid w:val="005424C0"/>
    <w:rsid w:val="00736B88"/>
    <w:rsid w:val="00A92CDE"/>
    <w:rsid w:val="00BA049D"/>
    <w:rsid w:val="00CE1473"/>
    <w:rsid w:val="00DD44B8"/>
    <w:rsid w:val="00F64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1EDE"/>
  <w15:docId w15:val="{0B18E30F-E30F-4FC4-963D-7F3EB826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ce-ins">
    <w:name w:val="ice-ins"/>
    <w:basedOn w:val="DefaultParagraphFont"/>
  </w:style>
  <w:style w:type="character" w:customStyle="1" w:styleId="ice-del">
    <w:name w:val="ice-del"/>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3263">
      <w:bodyDiv w:val="1"/>
      <w:marLeft w:val="0"/>
      <w:marRight w:val="0"/>
      <w:marTop w:val="0"/>
      <w:marBottom w:val="0"/>
      <w:divBdr>
        <w:top w:val="none" w:sz="0" w:space="0" w:color="auto"/>
        <w:left w:val="none" w:sz="0" w:space="0" w:color="auto"/>
        <w:bottom w:val="none" w:sz="0" w:space="0" w:color="auto"/>
        <w:right w:val="none" w:sz="0" w:space="0" w:color="auto"/>
      </w:divBdr>
      <w:divsChild>
        <w:div w:id="1634098386">
          <w:marLeft w:val="0"/>
          <w:marRight w:val="0"/>
          <w:marTop w:val="0"/>
          <w:marBottom w:val="0"/>
          <w:divBdr>
            <w:top w:val="none" w:sz="0" w:space="0" w:color="auto"/>
            <w:left w:val="none" w:sz="0" w:space="0" w:color="auto"/>
            <w:bottom w:val="none" w:sz="0" w:space="0" w:color="auto"/>
            <w:right w:val="none" w:sz="0" w:space="0" w:color="auto"/>
          </w:divBdr>
          <w:divsChild>
            <w:div w:id="1445921598">
              <w:marLeft w:val="0"/>
              <w:marRight w:val="0"/>
              <w:marTop w:val="0"/>
              <w:marBottom w:val="0"/>
              <w:divBdr>
                <w:top w:val="none" w:sz="0" w:space="0" w:color="auto"/>
                <w:left w:val="none" w:sz="0" w:space="0" w:color="auto"/>
                <w:bottom w:val="none" w:sz="0" w:space="0" w:color="auto"/>
                <w:right w:val="none" w:sz="0" w:space="0" w:color="auto"/>
              </w:divBdr>
              <w:divsChild>
                <w:div w:id="31078756">
                  <w:marLeft w:val="0"/>
                  <w:marRight w:val="0"/>
                  <w:marTop w:val="0"/>
                  <w:marBottom w:val="0"/>
                  <w:divBdr>
                    <w:top w:val="none" w:sz="0" w:space="0" w:color="auto"/>
                    <w:left w:val="none" w:sz="0" w:space="0" w:color="auto"/>
                    <w:bottom w:val="none" w:sz="0" w:space="0" w:color="auto"/>
                    <w:right w:val="none" w:sz="0" w:space="0" w:color="auto"/>
                  </w:divBdr>
                </w:div>
                <w:div w:id="93933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69861">
      <w:bodyDiv w:val="1"/>
      <w:marLeft w:val="0"/>
      <w:marRight w:val="0"/>
      <w:marTop w:val="0"/>
      <w:marBottom w:val="0"/>
      <w:divBdr>
        <w:top w:val="none" w:sz="0" w:space="0" w:color="auto"/>
        <w:left w:val="none" w:sz="0" w:space="0" w:color="auto"/>
        <w:bottom w:val="none" w:sz="0" w:space="0" w:color="auto"/>
        <w:right w:val="none" w:sz="0" w:space="0" w:color="auto"/>
      </w:divBdr>
    </w:div>
    <w:div w:id="2144543961">
      <w:bodyDiv w:val="1"/>
      <w:marLeft w:val="0"/>
      <w:marRight w:val="0"/>
      <w:marTop w:val="0"/>
      <w:marBottom w:val="0"/>
      <w:divBdr>
        <w:top w:val="none" w:sz="0" w:space="0" w:color="auto"/>
        <w:left w:val="none" w:sz="0" w:space="0" w:color="auto"/>
        <w:bottom w:val="none" w:sz="0" w:space="0" w:color="auto"/>
        <w:right w:val="none" w:sz="0" w:space="0" w:color="auto"/>
      </w:divBdr>
      <w:divsChild>
        <w:div w:id="140974735">
          <w:marLeft w:val="0"/>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Frahm</dc:creator>
  <cp:lastModifiedBy>Patricia Frahm</cp:lastModifiedBy>
  <cp:revision>5</cp:revision>
  <dcterms:created xsi:type="dcterms:W3CDTF">2024-07-18T18:02:00Z</dcterms:created>
  <dcterms:modified xsi:type="dcterms:W3CDTF">2024-08-24T22:42:00Z</dcterms:modified>
</cp:coreProperties>
</file>