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E2E" w:rsidRDefault="00063E2E" w:rsidP="00987CB9">
      <w:pPr>
        <w:rPr>
          <w:rFonts w:ascii="Arial" w:hAnsi="Arial" w:cs="Arial"/>
          <w:b/>
          <w:sz w:val="24"/>
          <w:szCs w:val="24"/>
        </w:rPr>
      </w:pPr>
    </w:p>
    <w:p w:rsidR="00987CB9" w:rsidRPr="00225895" w:rsidRDefault="00987CB9" w:rsidP="00987CB9">
      <w:pPr>
        <w:rPr>
          <w:rFonts w:ascii="Arial" w:hAnsi="Arial" w:cs="Arial"/>
          <w:b/>
          <w:sz w:val="24"/>
          <w:szCs w:val="24"/>
        </w:rPr>
      </w:pPr>
      <w:r w:rsidRPr="00225895">
        <w:rPr>
          <w:rFonts w:ascii="Arial" w:hAnsi="Arial" w:cs="Arial"/>
          <w:b/>
          <w:sz w:val="24"/>
          <w:szCs w:val="24"/>
        </w:rPr>
        <w:t xml:space="preserve">Policy:  </w:t>
      </w:r>
      <w:r>
        <w:rPr>
          <w:rFonts w:ascii="Arial" w:hAnsi="Arial" w:cs="Arial"/>
          <w:b/>
          <w:sz w:val="24"/>
          <w:szCs w:val="24"/>
        </w:rPr>
        <w:t>3440</w:t>
      </w:r>
      <w:r>
        <w:rPr>
          <w:rFonts w:ascii="Arial" w:hAnsi="Arial" w:cs="Arial"/>
          <w:b/>
          <w:sz w:val="24"/>
          <w:szCs w:val="24"/>
        </w:rPr>
        <w:tab/>
      </w:r>
      <w:r w:rsidRPr="00225895">
        <w:rPr>
          <w:rFonts w:ascii="Arial" w:hAnsi="Arial" w:cs="Arial"/>
          <w:b/>
          <w:sz w:val="24"/>
          <w:szCs w:val="24"/>
        </w:rPr>
        <w:tab/>
      </w:r>
      <w:r w:rsidRPr="00225895">
        <w:rPr>
          <w:rFonts w:ascii="Arial" w:hAnsi="Arial" w:cs="Arial"/>
          <w:b/>
          <w:sz w:val="24"/>
          <w:szCs w:val="24"/>
        </w:rPr>
        <w:tab/>
      </w:r>
      <w:r w:rsidRPr="00225895">
        <w:rPr>
          <w:rFonts w:ascii="Arial" w:hAnsi="Arial" w:cs="Arial"/>
          <w:b/>
          <w:sz w:val="24"/>
          <w:szCs w:val="24"/>
        </w:rPr>
        <w:tab/>
      </w:r>
      <w:r w:rsidRPr="00225895">
        <w:rPr>
          <w:rFonts w:ascii="Arial" w:hAnsi="Arial" w:cs="Arial"/>
          <w:b/>
          <w:sz w:val="24"/>
          <w:szCs w:val="24"/>
        </w:rPr>
        <w:tab/>
      </w:r>
      <w:r>
        <w:rPr>
          <w:rFonts w:ascii="Arial" w:hAnsi="Arial" w:cs="Arial"/>
          <w:b/>
          <w:sz w:val="24"/>
          <w:szCs w:val="24"/>
        </w:rPr>
        <w:tab/>
      </w:r>
      <w:r>
        <w:rPr>
          <w:rFonts w:ascii="Arial" w:hAnsi="Arial" w:cs="Arial"/>
          <w:b/>
          <w:sz w:val="24"/>
          <w:szCs w:val="24"/>
        </w:rPr>
        <w:tab/>
        <w:t>Section 30</w:t>
      </w:r>
      <w:r w:rsidRPr="00225895">
        <w:rPr>
          <w:rFonts w:ascii="Arial" w:hAnsi="Arial" w:cs="Arial"/>
          <w:b/>
          <w:sz w:val="24"/>
          <w:szCs w:val="24"/>
        </w:rPr>
        <w:t xml:space="preserve">00: </w:t>
      </w:r>
      <w:r>
        <w:rPr>
          <w:rFonts w:ascii="Arial" w:hAnsi="Arial" w:cs="Arial"/>
          <w:b/>
          <w:sz w:val="24"/>
          <w:szCs w:val="24"/>
        </w:rPr>
        <w:t>Students</w:t>
      </w:r>
    </w:p>
    <w:p w:rsidR="00987CB9" w:rsidRPr="00225895" w:rsidRDefault="00987CB9" w:rsidP="00987CB9">
      <w:pPr>
        <w:rPr>
          <w:rFonts w:ascii="Arial" w:hAnsi="Arial" w:cs="Arial"/>
          <w:b/>
          <w:sz w:val="24"/>
          <w:szCs w:val="24"/>
        </w:rPr>
      </w:pPr>
      <w:r w:rsidRPr="00225895">
        <w:rPr>
          <w:rFonts w:ascii="Arial" w:hAnsi="Arial" w:cs="Arial"/>
          <w:b/>
          <w:sz w:val="24"/>
          <w:szCs w:val="24"/>
        </w:rPr>
        <w:t>POLICY TITLE:</w:t>
      </w:r>
      <w:r w:rsidRPr="00225895">
        <w:rPr>
          <w:rFonts w:ascii="Arial" w:hAnsi="Arial" w:cs="Arial"/>
          <w:b/>
          <w:sz w:val="24"/>
          <w:szCs w:val="24"/>
        </w:rPr>
        <w:tab/>
      </w:r>
      <w:r>
        <w:rPr>
          <w:rFonts w:ascii="Arial" w:hAnsi="Arial" w:cs="Arial"/>
          <w:b/>
          <w:sz w:val="24"/>
          <w:szCs w:val="24"/>
        </w:rPr>
        <w:t>Student Fees, Fines, and Charges/Return of Property</w:t>
      </w:r>
    </w:p>
    <w:p w:rsidR="0020484F" w:rsidRDefault="0020484F">
      <w:pPr>
        <w:spacing w:after="30"/>
        <w:jc w:val="right"/>
      </w:pPr>
    </w:p>
    <w:p w:rsidR="00063E2E" w:rsidRDefault="008C05CC" w:rsidP="00063E2E">
      <w:pPr>
        <w:rPr>
          <w:rFonts w:ascii="Arial" w:eastAsia="Times New Roman" w:hAnsi="Arial" w:cs="Arial"/>
          <w:b/>
          <w:sz w:val="24"/>
        </w:rPr>
      </w:pPr>
      <w:r w:rsidRPr="00987CB9">
        <w:rPr>
          <w:rFonts w:ascii="Arial" w:eastAsia="Times New Roman" w:hAnsi="Arial" w:cs="Arial"/>
          <w:sz w:val="24"/>
        </w:rPr>
        <w:t xml:space="preserve">The </w:t>
      </w:r>
      <w:r w:rsidR="00D2632C">
        <w:rPr>
          <w:rFonts w:ascii="Arial" w:eastAsia="Times New Roman" w:hAnsi="Arial" w:cs="Arial"/>
          <w:sz w:val="24"/>
        </w:rPr>
        <w:t>Agency</w:t>
      </w:r>
      <w:r w:rsidRPr="00987CB9">
        <w:rPr>
          <w:rFonts w:ascii="Arial" w:eastAsia="Times New Roman" w:hAnsi="Arial" w:cs="Arial"/>
          <w:sz w:val="24"/>
        </w:rPr>
        <w:t xml:space="preserve"> shall charge no fee for any course for which academic credit is awarded.</w:t>
      </w:r>
      <w:r w:rsidRPr="00987CB9">
        <w:rPr>
          <w:rFonts w:ascii="Arial" w:eastAsia="Times New Roman" w:hAnsi="Arial" w:cs="Arial"/>
          <w:sz w:val="24"/>
        </w:rPr>
        <w:br/>
      </w:r>
      <w:r w:rsidRPr="00987CB9">
        <w:rPr>
          <w:rFonts w:ascii="Arial" w:eastAsia="Times New Roman" w:hAnsi="Arial" w:cs="Arial"/>
          <w:sz w:val="24"/>
        </w:rPr>
        <w:br/>
        <w:t>A student may be charged a reasonable fee for any non-credit course or non-curricular activity such as an extracurricular activity, student activity, or membership in a voluntary club or association. The Board may waive the fee in cases of financial hardship.</w:t>
      </w:r>
      <w:r w:rsidRPr="00987CB9">
        <w:rPr>
          <w:rFonts w:ascii="Arial" w:eastAsia="Times New Roman" w:hAnsi="Arial" w:cs="Arial"/>
          <w:sz w:val="24"/>
        </w:rPr>
        <w:br/>
      </w:r>
      <w:r w:rsidRPr="00987CB9">
        <w:rPr>
          <w:rFonts w:ascii="Arial" w:eastAsia="Times New Roman" w:hAnsi="Arial" w:cs="Arial"/>
          <w:sz w:val="24"/>
        </w:rPr>
        <w:br/>
        <w:t>Additional fees may be charged for “enhanced programming and materials” which are voluntary enrichments to the curriculum beyond what is necessary to meet the learning expectations for a particular grade or course (i.e. students may wish to use a superior product or consumable than that provided by the school, in which case they may be asked to pay the additional cost of the upgrade). This includes online enrollment when solely a matter of preference.</w:t>
      </w:r>
      <w:r w:rsidRPr="00987CB9">
        <w:rPr>
          <w:rFonts w:ascii="Arial" w:eastAsia="Times New Roman" w:hAnsi="Arial" w:cs="Arial"/>
          <w:sz w:val="24"/>
        </w:rPr>
        <w:br/>
      </w:r>
      <w:r w:rsidRPr="00987CB9">
        <w:rPr>
          <w:rFonts w:ascii="Arial" w:eastAsia="Times New Roman" w:hAnsi="Arial" w:cs="Arial"/>
          <w:sz w:val="24"/>
        </w:rPr>
        <w:br/>
        <w:t>A student shall be responsible for the cost of replacing materials or property lost or damaged due to negligence. If school property in a student’s possession is lost, broken, or otherwise damaged, the student may be charged the lesser of the fair market value of the item at the time or the cost of repair.</w:t>
      </w:r>
      <w:r w:rsidRPr="00987CB9">
        <w:rPr>
          <w:rFonts w:ascii="Arial" w:eastAsia="Times New Roman" w:hAnsi="Arial" w:cs="Arial"/>
          <w:sz w:val="24"/>
        </w:rPr>
        <w:br/>
      </w:r>
    </w:p>
    <w:p w:rsidR="0020484F" w:rsidRPr="00987CB9" w:rsidRDefault="00063E2E" w:rsidP="00063E2E">
      <w:pPr>
        <w:spacing w:after="0"/>
        <w:rPr>
          <w:rFonts w:ascii="Arial" w:hAnsi="Arial" w:cs="Arial"/>
          <w:sz w:val="24"/>
        </w:rPr>
      </w:pPr>
      <w:r>
        <w:rPr>
          <w:rFonts w:ascii="Arial" w:eastAsia="Times New Roman" w:hAnsi="Arial" w:cs="Arial"/>
          <w:b/>
          <w:sz w:val="24"/>
        </w:rPr>
        <w:t xml:space="preserve">The </w:t>
      </w:r>
      <w:r w:rsidR="00D2632C">
        <w:rPr>
          <w:rFonts w:ascii="Arial" w:eastAsia="Times New Roman" w:hAnsi="Arial" w:cs="Arial"/>
          <w:b/>
          <w:sz w:val="24"/>
        </w:rPr>
        <w:t>Agency</w:t>
      </w:r>
      <w:r>
        <w:rPr>
          <w:rFonts w:ascii="Arial" w:eastAsia="Times New Roman" w:hAnsi="Arial" w:cs="Arial"/>
          <w:b/>
          <w:sz w:val="24"/>
        </w:rPr>
        <w:t xml:space="preserve"> may require, as a condition of participation in graduation or issuance of a diploma or certificate that a student return all property of the </w:t>
      </w:r>
      <w:r w:rsidR="00D2632C">
        <w:rPr>
          <w:rFonts w:ascii="Arial" w:eastAsia="Times New Roman" w:hAnsi="Arial" w:cs="Arial"/>
          <w:b/>
          <w:sz w:val="24"/>
        </w:rPr>
        <w:t>Agency</w:t>
      </w:r>
      <w:r>
        <w:rPr>
          <w:rFonts w:ascii="Arial" w:eastAsia="Times New Roman" w:hAnsi="Arial" w:cs="Arial"/>
          <w:b/>
          <w:sz w:val="24"/>
        </w:rPr>
        <w:t>.</w:t>
      </w:r>
      <w:r w:rsidR="008C05CC" w:rsidRPr="00987CB9">
        <w:rPr>
          <w:rFonts w:ascii="Arial" w:eastAsia="Times New Roman" w:hAnsi="Arial" w:cs="Arial"/>
          <w:sz w:val="24"/>
        </w:rPr>
        <w:br/>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20484F" w:rsidRPr="00987CB9" w:rsidTr="00063E2E">
        <w:tc>
          <w:tcPr>
            <w:tcW w:w="4023" w:type="dxa"/>
          </w:tcPr>
          <w:p w:rsidR="0020484F" w:rsidRPr="00987CB9" w:rsidRDefault="008C05CC">
            <w:pPr>
              <w:spacing w:after="0"/>
              <w:rPr>
                <w:rFonts w:ascii="Arial" w:hAnsi="Arial" w:cs="Arial"/>
                <w:sz w:val="24"/>
              </w:rPr>
            </w:pPr>
            <w:r w:rsidRPr="00987CB9">
              <w:rPr>
                <w:rFonts w:ascii="Arial" w:hAnsi="Arial" w:cs="Arial"/>
                <w:b/>
                <w:sz w:val="24"/>
              </w:rPr>
              <w:t>Legal References</w:t>
            </w:r>
          </w:p>
        </w:tc>
        <w:tc>
          <w:tcPr>
            <w:tcW w:w="5970" w:type="dxa"/>
          </w:tcPr>
          <w:p w:rsidR="0020484F" w:rsidRPr="00987CB9" w:rsidRDefault="008C05CC">
            <w:pPr>
              <w:spacing w:after="0"/>
              <w:rPr>
                <w:rFonts w:ascii="Arial" w:hAnsi="Arial" w:cs="Arial"/>
                <w:sz w:val="24"/>
              </w:rPr>
            </w:pPr>
            <w:r w:rsidRPr="00987CB9">
              <w:rPr>
                <w:rFonts w:ascii="Arial" w:hAnsi="Arial" w:cs="Arial"/>
                <w:b/>
                <w:sz w:val="24"/>
              </w:rPr>
              <w:t>Description</w:t>
            </w:r>
          </w:p>
        </w:tc>
      </w:tr>
      <w:tr w:rsidR="0020484F" w:rsidRPr="00987CB9" w:rsidTr="00063E2E">
        <w:tc>
          <w:tcPr>
            <w:tcW w:w="4023" w:type="dxa"/>
          </w:tcPr>
          <w:p w:rsidR="0020484F" w:rsidRPr="00987CB9" w:rsidRDefault="008C05CC">
            <w:pPr>
              <w:spacing w:after="0"/>
              <w:rPr>
                <w:rFonts w:ascii="Arial" w:hAnsi="Arial" w:cs="Arial"/>
                <w:sz w:val="24"/>
              </w:rPr>
            </w:pPr>
            <w:r w:rsidRPr="00987CB9">
              <w:rPr>
                <w:rFonts w:ascii="Arial" w:hAnsi="Arial" w:cs="Arial"/>
                <w:sz w:val="24"/>
              </w:rPr>
              <w:t>IC § 33-1034</w:t>
            </w:r>
          </w:p>
        </w:tc>
        <w:tc>
          <w:tcPr>
            <w:tcW w:w="5970" w:type="dxa"/>
          </w:tcPr>
          <w:p w:rsidR="0020484F" w:rsidRPr="00987CB9" w:rsidRDefault="008C05CC">
            <w:pPr>
              <w:rPr>
                <w:rFonts w:ascii="Arial" w:hAnsi="Arial" w:cs="Arial"/>
                <w:sz w:val="24"/>
              </w:rPr>
            </w:pPr>
            <w:r w:rsidRPr="00987CB9">
              <w:rPr>
                <w:rFonts w:ascii="Arial" w:hAnsi="Arial" w:cs="Arial"/>
                <w:sz w:val="24"/>
              </w:rPr>
              <w:t>Definition</w:t>
            </w:r>
          </w:p>
        </w:tc>
      </w:tr>
      <w:tr w:rsidR="0020484F" w:rsidRPr="00987CB9" w:rsidTr="00063E2E">
        <w:tc>
          <w:tcPr>
            <w:tcW w:w="4023" w:type="dxa"/>
          </w:tcPr>
          <w:p w:rsidR="0020484F" w:rsidRPr="00987CB9" w:rsidRDefault="008C05CC">
            <w:pPr>
              <w:spacing w:after="0"/>
              <w:rPr>
                <w:rFonts w:ascii="Arial" w:hAnsi="Arial" w:cs="Arial"/>
                <w:sz w:val="24"/>
              </w:rPr>
            </w:pPr>
            <w:r w:rsidRPr="00987CB9">
              <w:rPr>
                <w:rFonts w:ascii="Arial" w:hAnsi="Arial" w:cs="Arial"/>
                <w:sz w:val="24"/>
              </w:rPr>
              <w:t>IC § 33-603</w:t>
            </w:r>
          </w:p>
        </w:tc>
        <w:tc>
          <w:tcPr>
            <w:tcW w:w="5970" w:type="dxa"/>
          </w:tcPr>
          <w:p w:rsidR="0020484F" w:rsidRPr="00987CB9" w:rsidRDefault="008C05CC">
            <w:pPr>
              <w:rPr>
                <w:rFonts w:ascii="Arial" w:hAnsi="Arial" w:cs="Arial"/>
                <w:sz w:val="24"/>
              </w:rPr>
            </w:pPr>
            <w:r w:rsidRPr="00987CB9">
              <w:rPr>
                <w:rFonts w:ascii="Arial" w:hAnsi="Arial" w:cs="Arial"/>
                <w:sz w:val="24"/>
              </w:rPr>
              <w:t>Payment of Fees or Returning of Property</w:t>
            </w:r>
          </w:p>
        </w:tc>
      </w:tr>
      <w:tr w:rsidR="0020484F" w:rsidRPr="00987CB9" w:rsidTr="00063E2E">
        <w:tc>
          <w:tcPr>
            <w:tcW w:w="4023" w:type="dxa"/>
          </w:tcPr>
          <w:p w:rsidR="00063E2E" w:rsidRDefault="00063E2E">
            <w:pPr>
              <w:spacing w:after="0"/>
              <w:rPr>
                <w:rFonts w:ascii="Arial" w:hAnsi="Arial" w:cs="Arial"/>
                <w:b/>
                <w:sz w:val="24"/>
              </w:rPr>
            </w:pPr>
            <w:r>
              <w:rPr>
                <w:rFonts w:ascii="Arial" w:hAnsi="Arial" w:cs="Arial"/>
                <w:b/>
                <w:sz w:val="24"/>
              </w:rPr>
              <w:t>Cross References</w:t>
            </w:r>
          </w:p>
          <w:p w:rsidR="00063E2E" w:rsidRPr="00D2632C" w:rsidRDefault="00063E2E">
            <w:pPr>
              <w:spacing w:after="0"/>
              <w:rPr>
                <w:rFonts w:ascii="Arial" w:hAnsi="Arial" w:cs="Arial"/>
                <w:b/>
                <w:sz w:val="20"/>
              </w:rPr>
            </w:pPr>
          </w:p>
          <w:p w:rsidR="0020484F" w:rsidRPr="00987CB9" w:rsidRDefault="008C05CC">
            <w:pPr>
              <w:spacing w:after="0"/>
              <w:rPr>
                <w:rFonts w:ascii="Arial" w:hAnsi="Arial" w:cs="Arial"/>
                <w:sz w:val="24"/>
              </w:rPr>
            </w:pPr>
            <w:r w:rsidRPr="00987CB9">
              <w:rPr>
                <w:rFonts w:ascii="Arial" w:hAnsi="Arial" w:cs="Arial"/>
                <w:b/>
                <w:sz w:val="24"/>
              </w:rPr>
              <w:t>Code</w:t>
            </w:r>
          </w:p>
        </w:tc>
        <w:tc>
          <w:tcPr>
            <w:tcW w:w="5970" w:type="dxa"/>
          </w:tcPr>
          <w:p w:rsidR="00063E2E" w:rsidRDefault="00063E2E">
            <w:pPr>
              <w:spacing w:after="0"/>
              <w:rPr>
                <w:rFonts w:ascii="Arial" w:hAnsi="Arial" w:cs="Arial"/>
                <w:b/>
                <w:sz w:val="24"/>
              </w:rPr>
            </w:pPr>
          </w:p>
          <w:p w:rsidR="00063E2E" w:rsidRPr="00D2632C" w:rsidRDefault="00063E2E">
            <w:pPr>
              <w:spacing w:after="0"/>
              <w:rPr>
                <w:rFonts w:ascii="Arial" w:hAnsi="Arial" w:cs="Arial"/>
                <w:b/>
                <w:sz w:val="20"/>
              </w:rPr>
            </w:pPr>
          </w:p>
          <w:p w:rsidR="0020484F" w:rsidRDefault="008C05CC">
            <w:pPr>
              <w:spacing w:after="0"/>
              <w:rPr>
                <w:rFonts w:ascii="Arial" w:hAnsi="Arial" w:cs="Arial"/>
                <w:b/>
                <w:sz w:val="24"/>
              </w:rPr>
            </w:pPr>
            <w:r w:rsidRPr="00987CB9">
              <w:rPr>
                <w:rFonts w:ascii="Arial" w:hAnsi="Arial" w:cs="Arial"/>
                <w:b/>
                <w:sz w:val="24"/>
              </w:rPr>
              <w:t>Description</w:t>
            </w:r>
          </w:p>
          <w:p w:rsidR="00063E2E" w:rsidRPr="00987CB9" w:rsidRDefault="00063E2E">
            <w:pPr>
              <w:spacing w:after="0"/>
              <w:rPr>
                <w:rFonts w:ascii="Arial" w:hAnsi="Arial" w:cs="Arial"/>
                <w:sz w:val="24"/>
              </w:rPr>
            </w:pPr>
          </w:p>
        </w:tc>
      </w:tr>
      <w:tr w:rsidR="0020484F" w:rsidRPr="00987CB9" w:rsidTr="00063E2E">
        <w:tc>
          <w:tcPr>
            <w:tcW w:w="4023" w:type="dxa"/>
          </w:tcPr>
          <w:p w:rsidR="0020484F" w:rsidRPr="00987CB9" w:rsidRDefault="008C05CC">
            <w:pPr>
              <w:spacing w:after="0"/>
              <w:rPr>
                <w:rFonts w:ascii="Arial" w:hAnsi="Arial" w:cs="Arial"/>
                <w:sz w:val="24"/>
              </w:rPr>
            </w:pPr>
            <w:r w:rsidRPr="00987CB9">
              <w:rPr>
                <w:rFonts w:ascii="Arial" w:hAnsi="Arial" w:cs="Arial"/>
                <w:sz w:val="24"/>
              </w:rPr>
              <w:t>2325</w:t>
            </w:r>
          </w:p>
        </w:tc>
        <w:tc>
          <w:tcPr>
            <w:tcW w:w="5970" w:type="dxa"/>
          </w:tcPr>
          <w:p w:rsidR="0020484F" w:rsidRPr="00987CB9" w:rsidRDefault="008C05CC">
            <w:pPr>
              <w:rPr>
                <w:rFonts w:ascii="Arial" w:hAnsi="Arial" w:cs="Arial"/>
                <w:sz w:val="24"/>
              </w:rPr>
            </w:pPr>
            <w:r w:rsidRPr="00987CB9">
              <w:rPr>
                <w:rFonts w:ascii="Arial" w:hAnsi="Arial" w:cs="Arial"/>
                <w:sz w:val="24"/>
              </w:rPr>
              <w:t>Driver Training Education</w:t>
            </w:r>
          </w:p>
        </w:tc>
      </w:tr>
      <w:tr w:rsidR="0020484F" w:rsidRPr="00987CB9" w:rsidTr="00063E2E">
        <w:tc>
          <w:tcPr>
            <w:tcW w:w="4023" w:type="dxa"/>
          </w:tcPr>
          <w:p w:rsidR="0020484F" w:rsidRPr="00987CB9" w:rsidRDefault="008C05CC">
            <w:pPr>
              <w:spacing w:after="0"/>
              <w:rPr>
                <w:rFonts w:ascii="Arial" w:hAnsi="Arial" w:cs="Arial"/>
                <w:sz w:val="24"/>
              </w:rPr>
            </w:pPr>
            <w:r w:rsidRPr="00987CB9">
              <w:rPr>
                <w:rFonts w:ascii="Arial" w:hAnsi="Arial" w:cs="Arial"/>
                <w:sz w:val="24"/>
              </w:rPr>
              <w:t>2470</w:t>
            </w:r>
          </w:p>
        </w:tc>
        <w:tc>
          <w:tcPr>
            <w:tcW w:w="5970" w:type="dxa"/>
          </w:tcPr>
          <w:p w:rsidR="0020484F" w:rsidRPr="00987CB9" w:rsidRDefault="008C05CC">
            <w:pPr>
              <w:rPr>
                <w:rFonts w:ascii="Arial" w:hAnsi="Arial" w:cs="Arial"/>
                <w:sz w:val="24"/>
              </w:rPr>
            </w:pPr>
            <w:r w:rsidRPr="00987CB9">
              <w:rPr>
                <w:rFonts w:ascii="Arial" w:hAnsi="Arial" w:cs="Arial"/>
                <w:sz w:val="24"/>
              </w:rPr>
              <w:t>Self-Directed Learners</w:t>
            </w:r>
          </w:p>
        </w:tc>
      </w:tr>
      <w:tr w:rsidR="0020484F" w:rsidRPr="00987CB9" w:rsidTr="00063E2E">
        <w:tc>
          <w:tcPr>
            <w:tcW w:w="4023" w:type="dxa"/>
          </w:tcPr>
          <w:p w:rsidR="0020484F" w:rsidRPr="00987CB9" w:rsidRDefault="008C05CC">
            <w:pPr>
              <w:spacing w:after="0"/>
              <w:rPr>
                <w:rFonts w:ascii="Arial" w:hAnsi="Arial" w:cs="Arial"/>
                <w:sz w:val="24"/>
              </w:rPr>
            </w:pPr>
            <w:r w:rsidRPr="00987CB9">
              <w:rPr>
                <w:rFonts w:ascii="Arial" w:hAnsi="Arial" w:cs="Arial"/>
                <w:sz w:val="24"/>
              </w:rPr>
              <w:t>7500</w:t>
            </w:r>
          </w:p>
        </w:tc>
        <w:tc>
          <w:tcPr>
            <w:tcW w:w="5970" w:type="dxa"/>
          </w:tcPr>
          <w:p w:rsidR="0020484F" w:rsidRPr="00987CB9" w:rsidRDefault="008C05CC">
            <w:pPr>
              <w:rPr>
                <w:rFonts w:ascii="Arial" w:hAnsi="Arial" w:cs="Arial"/>
                <w:sz w:val="24"/>
              </w:rPr>
            </w:pPr>
            <w:r w:rsidRPr="00987CB9">
              <w:rPr>
                <w:rFonts w:ascii="Arial" w:hAnsi="Arial" w:cs="Arial"/>
                <w:sz w:val="24"/>
              </w:rPr>
              <w:t>New Fees or Increase of Fees</w:t>
            </w:r>
          </w:p>
        </w:tc>
      </w:tr>
    </w:tbl>
    <w:p w:rsidR="00705878" w:rsidRDefault="00705878" w:rsidP="00705878">
      <w:pPr>
        <w:rPr>
          <w:rFonts w:ascii="Arial" w:hAnsi="Arial" w:cs="Arial"/>
          <w:b/>
          <w:sz w:val="24"/>
          <w:szCs w:val="24"/>
        </w:rPr>
      </w:pPr>
      <w:r>
        <w:rPr>
          <w:rFonts w:ascii="Arial" w:hAnsi="Arial" w:cs="Arial"/>
          <w:b/>
          <w:sz w:val="24"/>
          <w:szCs w:val="24"/>
        </w:rPr>
        <w:t>POLICY HISTORY:</w:t>
      </w:r>
    </w:p>
    <w:p w:rsidR="00705878" w:rsidRDefault="00705878" w:rsidP="00705878">
      <w:pPr>
        <w:rPr>
          <w:rFonts w:ascii="Arial" w:hAnsi="Arial" w:cs="Arial"/>
          <w:b/>
          <w:sz w:val="24"/>
          <w:szCs w:val="24"/>
        </w:rPr>
      </w:pPr>
      <w:r>
        <w:rPr>
          <w:rFonts w:ascii="Arial" w:hAnsi="Arial" w:cs="Arial"/>
          <w:b/>
          <w:sz w:val="24"/>
          <w:szCs w:val="24"/>
        </w:rPr>
        <w:tab/>
        <w:t xml:space="preserve">Adopted: </w:t>
      </w:r>
      <w:r>
        <w:rPr>
          <w:rFonts w:ascii="Arial" w:hAnsi="Arial" w:cs="Arial"/>
          <w:b/>
          <w:sz w:val="24"/>
          <w:szCs w:val="24"/>
        </w:rPr>
        <w:tab/>
      </w:r>
      <w:r w:rsidR="003A4547">
        <w:rPr>
          <w:rFonts w:ascii="Arial" w:hAnsi="Arial" w:cs="Arial"/>
          <w:b/>
          <w:sz w:val="24"/>
          <w:szCs w:val="24"/>
        </w:rPr>
        <w:t>August 19, 2024</w:t>
      </w:r>
      <w:bookmarkStart w:id="0" w:name="_GoBack"/>
      <w:bookmarkEnd w:id="0"/>
    </w:p>
    <w:p w:rsidR="008C05CC" w:rsidRDefault="008C05CC"/>
    <w:sectPr w:rsidR="008C05CC">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4F"/>
    <w:rsid w:val="00063E2E"/>
    <w:rsid w:val="0020484F"/>
    <w:rsid w:val="003A4547"/>
    <w:rsid w:val="00705878"/>
    <w:rsid w:val="008C05CC"/>
    <w:rsid w:val="00987CB9"/>
    <w:rsid w:val="00D2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F373"/>
  <w15:docId w15:val="{DBF3C9C2-AD0C-4BF3-AD91-04AE4093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ce-ins">
    <w:name w:val="ice-ins"/>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813765">
      <w:bodyDiv w:val="1"/>
      <w:marLeft w:val="0"/>
      <w:marRight w:val="0"/>
      <w:marTop w:val="0"/>
      <w:marBottom w:val="0"/>
      <w:divBdr>
        <w:top w:val="none" w:sz="0" w:space="0" w:color="auto"/>
        <w:left w:val="none" w:sz="0" w:space="0" w:color="auto"/>
        <w:bottom w:val="none" w:sz="0" w:space="0" w:color="auto"/>
        <w:right w:val="none" w:sz="0" w:space="0" w:color="auto"/>
      </w:divBdr>
    </w:div>
    <w:div w:id="956106113">
      <w:bodyDiv w:val="1"/>
      <w:marLeft w:val="0"/>
      <w:marRight w:val="0"/>
      <w:marTop w:val="0"/>
      <w:marBottom w:val="0"/>
      <w:divBdr>
        <w:top w:val="none" w:sz="0" w:space="0" w:color="auto"/>
        <w:left w:val="none" w:sz="0" w:space="0" w:color="auto"/>
        <w:bottom w:val="none" w:sz="0" w:space="0" w:color="auto"/>
        <w:right w:val="none" w:sz="0" w:space="0" w:color="auto"/>
      </w:divBdr>
    </w:div>
    <w:div w:id="1483547766">
      <w:bodyDiv w:val="1"/>
      <w:marLeft w:val="0"/>
      <w:marRight w:val="0"/>
      <w:marTop w:val="0"/>
      <w:marBottom w:val="0"/>
      <w:divBdr>
        <w:top w:val="none" w:sz="0" w:space="0" w:color="auto"/>
        <w:left w:val="none" w:sz="0" w:space="0" w:color="auto"/>
        <w:bottom w:val="none" w:sz="0" w:space="0" w:color="auto"/>
        <w:right w:val="none" w:sz="0" w:space="0" w:color="auto"/>
      </w:divBdr>
      <w:divsChild>
        <w:div w:id="1011371179">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Frahm</dc:creator>
  <cp:lastModifiedBy>Patricia Frahm</cp:lastModifiedBy>
  <cp:revision>4</cp:revision>
  <dcterms:created xsi:type="dcterms:W3CDTF">2024-07-18T20:05:00Z</dcterms:created>
  <dcterms:modified xsi:type="dcterms:W3CDTF">2024-08-24T22:47:00Z</dcterms:modified>
</cp:coreProperties>
</file>